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CBC6" w14:textId="4920A4AA" w:rsidR="00386EF0" w:rsidRPr="00C06454" w:rsidRDefault="00386EF0" w:rsidP="00386EF0">
      <w:pPr>
        <w:tabs>
          <w:tab w:val="left" w:pos="6663"/>
        </w:tabs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C06454">
        <w:rPr>
          <w:rFonts w:eastAsia="Times New Roman" w:cstheme="minorHAnsi"/>
          <w:b/>
          <w:bCs/>
          <w:sz w:val="28"/>
          <w:szCs w:val="28"/>
          <w:lang w:eastAsia="it-IT"/>
        </w:rPr>
        <w:t>ESERCITAZIONE RIEPILOGATIVA</w:t>
      </w:r>
      <w:r w:rsidR="00C06454">
        <w:rPr>
          <w:rFonts w:eastAsia="Times New Roman" w:cstheme="minorHAnsi"/>
          <w:b/>
          <w:bCs/>
          <w:sz w:val="28"/>
          <w:szCs w:val="28"/>
          <w:lang w:eastAsia="it-IT"/>
        </w:rPr>
        <w:t xml:space="preserve"> PRIMA PARTE</w:t>
      </w:r>
    </w:p>
    <w:p w14:paraId="42367607" w14:textId="77777777" w:rsidR="00386EF0" w:rsidRPr="00C06454" w:rsidRDefault="00386EF0" w:rsidP="00386EF0">
      <w:pPr>
        <w:tabs>
          <w:tab w:val="left" w:pos="6663"/>
        </w:tabs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222CE81F" w14:textId="77777777" w:rsidR="00386EF0" w:rsidRPr="00C06454" w:rsidRDefault="00386EF0" w:rsidP="00386EF0">
      <w:pPr>
        <w:tabs>
          <w:tab w:val="left" w:pos="6663"/>
        </w:tabs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</w:p>
    <w:p w14:paraId="3D4EDCB4" w14:textId="2A127C07" w:rsidR="00386EF0" w:rsidRPr="00C06454" w:rsidRDefault="00386EF0" w:rsidP="00386EF0">
      <w:pPr>
        <w:tabs>
          <w:tab w:val="left" w:pos="6663"/>
        </w:tabs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C06454">
        <w:rPr>
          <w:rFonts w:eastAsia="Times New Roman" w:cstheme="minorHAnsi"/>
          <w:b/>
          <w:bCs/>
          <w:lang w:eastAsia="it-IT"/>
        </w:rPr>
        <w:t>ESERCIZIO 1</w:t>
      </w:r>
    </w:p>
    <w:p w14:paraId="45270FA5" w14:textId="3E5AD29E" w:rsidR="0020284D" w:rsidRPr="00C06454" w:rsidRDefault="0020284D" w:rsidP="00386EF0">
      <w:pPr>
        <w:tabs>
          <w:tab w:val="left" w:pos="6663"/>
        </w:tabs>
        <w:spacing w:after="0" w:line="240" w:lineRule="auto"/>
        <w:jc w:val="both"/>
        <w:rPr>
          <w:rFonts w:eastAsia="Times New Roman" w:cstheme="minorHAnsi"/>
          <w:b/>
          <w:lang w:eastAsia="it-IT"/>
        </w:rPr>
      </w:pPr>
      <w:r w:rsidRPr="00C06454">
        <w:rPr>
          <w:rFonts w:eastAsia="Times New Roman" w:cstheme="minorHAnsi"/>
          <w:b/>
          <w:bCs/>
          <w:lang w:eastAsia="it-IT"/>
        </w:rPr>
        <w:t xml:space="preserve"> </w:t>
      </w:r>
    </w:p>
    <w:p w14:paraId="0690128C" w14:textId="77777777" w:rsidR="0020284D" w:rsidRPr="00C06454" w:rsidRDefault="0020284D" w:rsidP="0020284D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C06454">
        <w:rPr>
          <w:rFonts w:eastAsia="Times New Roman" w:cstheme="minorHAnsi"/>
          <w:bCs/>
          <w:lang w:eastAsia="it-IT"/>
        </w:rPr>
        <w:t xml:space="preserve">Per i singoli fatti amministrativi sotto riportati, </w:t>
      </w:r>
      <w:r w:rsidRPr="00C06454">
        <w:rPr>
          <w:rFonts w:eastAsia="Times New Roman" w:cstheme="minorHAnsi"/>
          <w:b/>
          <w:bCs/>
          <w:u w:val="single"/>
          <w:lang w:eastAsia="it-IT"/>
        </w:rPr>
        <w:t>che dovranno essere trattati in maniera individuale</w:t>
      </w:r>
      <w:r w:rsidRPr="00C06454">
        <w:rPr>
          <w:rFonts w:eastAsia="Times New Roman" w:cstheme="minorHAnsi"/>
          <w:bCs/>
          <w:lang w:eastAsia="it-IT"/>
        </w:rPr>
        <w:t xml:space="preserve">, lo studente provveda a: </w:t>
      </w:r>
    </w:p>
    <w:p w14:paraId="60244406" w14:textId="77777777" w:rsidR="0020284D" w:rsidRPr="00C06454" w:rsidRDefault="0020284D" w:rsidP="0020284D">
      <w:p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</w:p>
    <w:p w14:paraId="6A5278BD" w14:textId="77777777" w:rsidR="0020284D" w:rsidRPr="00C06454" w:rsidRDefault="0020284D" w:rsidP="0020284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C06454">
        <w:rPr>
          <w:rFonts w:eastAsia="Times New Roman" w:cstheme="minorHAnsi"/>
          <w:bCs/>
          <w:lang w:eastAsia="it-IT"/>
        </w:rPr>
        <w:t>Effettuare le opportune rilevazioni contabili (libro giornale) di esercizio del 20x1 e 20x2 collegate con quelle del 20x1.</w:t>
      </w:r>
    </w:p>
    <w:p w14:paraId="78EECD56" w14:textId="77777777" w:rsidR="0020284D" w:rsidRPr="00C06454" w:rsidRDefault="0020284D" w:rsidP="0020284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C06454">
        <w:rPr>
          <w:rFonts w:eastAsia="Times New Roman" w:cstheme="minorHAnsi"/>
          <w:bCs/>
          <w:lang w:eastAsia="it-IT"/>
        </w:rPr>
        <w:t>Effettuare le opportune scritture di rettifica (libro giornale)  al 31/12/20x1.</w:t>
      </w:r>
    </w:p>
    <w:p w14:paraId="7C4864E8" w14:textId="77777777" w:rsidR="0020284D" w:rsidRPr="00C06454" w:rsidRDefault="0020284D" w:rsidP="0020284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C06454">
        <w:rPr>
          <w:rFonts w:eastAsia="Times New Roman" w:cstheme="minorHAnsi"/>
          <w:bCs/>
          <w:lang w:eastAsia="it-IT"/>
        </w:rPr>
        <w:t>Effettuare le opportune scritture di chiusura dei conti nelle tavole di sintesi.</w:t>
      </w:r>
    </w:p>
    <w:p w14:paraId="0054247A" w14:textId="77777777" w:rsidR="0020284D" w:rsidRPr="00C06454" w:rsidRDefault="0020284D" w:rsidP="0020284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lang w:eastAsia="it-IT"/>
        </w:rPr>
      </w:pPr>
      <w:r w:rsidRPr="00C06454">
        <w:rPr>
          <w:rFonts w:eastAsia="Times New Roman" w:cstheme="minorHAnsi"/>
          <w:bCs/>
          <w:lang w:eastAsia="it-IT"/>
        </w:rPr>
        <w:t>Effettuare le opportune scritture contabili (libro giornale) di riapertura allo 01/01/20x2.</w:t>
      </w:r>
    </w:p>
    <w:p w14:paraId="37080A1A" w14:textId="77777777" w:rsidR="0020284D" w:rsidRPr="00C06454" w:rsidRDefault="0020284D" w:rsidP="0020284D">
      <w:pPr>
        <w:spacing w:after="0" w:line="240" w:lineRule="auto"/>
        <w:ind w:left="420"/>
        <w:jc w:val="both"/>
        <w:rPr>
          <w:rFonts w:eastAsia="Times New Roman" w:cstheme="minorHAnsi"/>
          <w:bCs/>
          <w:lang w:eastAsia="it-IT"/>
        </w:rPr>
      </w:pPr>
    </w:p>
    <w:p w14:paraId="4A78609C" w14:textId="77777777" w:rsidR="0020284D" w:rsidRPr="00C06454" w:rsidRDefault="0020284D" w:rsidP="0020284D">
      <w:pPr>
        <w:spacing w:after="0" w:line="240" w:lineRule="auto"/>
        <w:ind w:left="420"/>
        <w:jc w:val="both"/>
        <w:rPr>
          <w:rFonts w:eastAsia="Times New Roman" w:cstheme="minorHAnsi"/>
          <w:b/>
          <w:bCs/>
          <w:u w:val="single"/>
          <w:lang w:eastAsia="it-IT"/>
        </w:rPr>
      </w:pPr>
      <w:r w:rsidRPr="00C06454">
        <w:rPr>
          <w:rFonts w:eastAsia="Times New Roman" w:cstheme="minorHAnsi"/>
          <w:b/>
          <w:bCs/>
          <w:u w:val="single"/>
          <w:lang w:eastAsia="it-IT"/>
        </w:rPr>
        <w:t>N.B. indicare la natura di ogni conto movimentato</w:t>
      </w:r>
    </w:p>
    <w:p w14:paraId="071F2EBF" w14:textId="77777777" w:rsidR="0020284D" w:rsidRPr="00C06454" w:rsidRDefault="0020284D" w:rsidP="0020284D">
      <w:pPr>
        <w:tabs>
          <w:tab w:val="left" w:pos="0"/>
        </w:tabs>
        <w:spacing w:after="120" w:line="240" w:lineRule="auto"/>
        <w:rPr>
          <w:rFonts w:eastAsia="Times New Roman" w:cstheme="minorHAnsi"/>
          <w:bCs/>
          <w:lang w:eastAsia="it-IT"/>
        </w:rPr>
      </w:pPr>
    </w:p>
    <w:p w14:paraId="52510258" w14:textId="77777777" w:rsidR="0020284D" w:rsidRPr="00C06454" w:rsidRDefault="0020284D" w:rsidP="0020284D">
      <w:pPr>
        <w:spacing w:after="0" w:line="240" w:lineRule="auto"/>
        <w:ind w:left="360"/>
        <w:jc w:val="both"/>
        <w:rPr>
          <w:rFonts w:eastAsia="Times New Roman" w:cstheme="minorHAnsi"/>
          <w:bCs/>
          <w:lang w:eastAsia="it-IT"/>
        </w:rPr>
      </w:pPr>
      <w:r w:rsidRPr="00C06454">
        <w:rPr>
          <w:rFonts w:eastAsia="Times New Roman" w:cstheme="minorHAnsi"/>
          <w:b/>
          <w:bCs/>
          <w:lang w:eastAsia="it-IT"/>
        </w:rPr>
        <w:t xml:space="preserve">1.a) </w:t>
      </w:r>
      <w:r w:rsidRPr="00C06454">
        <w:rPr>
          <w:rFonts w:eastAsia="Times New Roman" w:cstheme="minorHAnsi"/>
          <w:bCs/>
          <w:lang w:eastAsia="it-IT"/>
        </w:rPr>
        <w:t>Sul mutuo passivo, pari a 50.000 Euro maturano interessi semestrali passivi posticipati con scadenza 01/09 e 01/03 al tasso annuo del 10%.</w:t>
      </w:r>
    </w:p>
    <w:p w14:paraId="08D3C336" w14:textId="77777777" w:rsidR="0020284D" w:rsidRPr="00C06454" w:rsidRDefault="0020284D" w:rsidP="0020284D">
      <w:pPr>
        <w:spacing w:after="0" w:line="240" w:lineRule="auto"/>
        <w:ind w:left="360"/>
        <w:jc w:val="both"/>
        <w:rPr>
          <w:rFonts w:eastAsia="Times New Roman" w:cstheme="minorHAnsi"/>
          <w:bCs/>
          <w:lang w:eastAsia="it-IT"/>
        </w:rPr>
      </w:pPr>
    </w:p>
    <w:p w14:paraId="3EF4AEE8" w14:textId="77777777" w:rsidR="0020284D" w:rsidRPr="00C06454" w:rsidRDefault="0020284D" w:rsidP="0020284D">
      <w:pPr>
        <w:spacing w:after="0" w:line="240" w:lineRule="auto"/>
        <w:ind w:left="360"/>
        <w:jc w:val="both"/>
        <w:rPr>
          <w:rFonts w:eastAsia="Times New Roman" w:cstheme="minorHAnsi"/>
          <w:bCs/>
          <w:lang w:eastAsia="it-IT"/>
        </w:rPr>
      </w:pPr>
      <w:r w:rsidRPr="00C06454">
        <w:rPr>
          <w:rFonts w:eastAsia="Times New Roman" w:cstheme="minorHAnsi"/>
          <w:b/>
          <w:bCs/>
          <w:lang w:eastAsia="it-IT"/>
        </w:rPr>
        <w:t>1.b)</w:t>
      </w:r>
      <w:r w:rsidRPr="00C06454">
        <w:rPr>
          <w:rFonts w:eastAsia="Times New Roman" w:cstheme="minorHAnsi"/>
          <w:bCs/>
          <w:lang w:eastAsia="it-IT"/>
        </w:rPr>
        <w:t xml:space="preserve">  Si stimano fatture da ricevere in merito ad acquisti di materie prime effettuati nell’esercizio per Euro  6.000.</w:t>
      </w:r>
    </w:p>
    <w:p w14:paraId="4BE6CE47" w14:textId="77777777" w:rsidR="0020284D" w:rsidRPr="00C06454" w:rsidRDefault="0020284D" w:rsidP="0020284D">
      <w:pPr>
        <w:spacing w:after="0" w:line="240" w:lineRule="auto"/>
        <w:ind w:left="360"/>
        <w:jc w:val="both"/>
        <w:rPr>
          <w:rFonts w:eastAsia="Times New Roman" w:cstheme="minorHAnsi"/>
          <w:bCs/>
          <w:lang w:eastAsia="it-IT"/>
        </w:rPr>
      </w:pPr>
    </w:p>
    <w:p w14:paraId="70844505" w14:textId="77777777" w:rsidR="0020284D" w:rsidRPr="00C06454" w:rsidRDefault="0020284D" w:rsidP="0020284D">
      <w:pPr>
        <w:spacing w:after="0" w:line="240" w:lineRule="auto"/>
        <w:ind w:left="360"/>
        <w:jc w:val="both"/>
        <w:rPr>
          <w:rFonts w:eastAsia="Times New Roman" w:cstheme="minorHAnsi"/>
          <w:bCs/>
          <w:lang w:eastAsia="it-IT"/>
        </w:rPr>
      </w:pPr>
      <w:r w:rsidRPr="00C06454">
        <w:rPr>
          <w:rFonts w:eastAsia="Times New Roman" w:cstheme="minorHAnsi"/>
          <w:b/>
          <w:bCs/>
          <w:lang w:eastAsia="it-IT"/>
        </w:rPr>
        <w:t>1.c)</w:t>
      </w:r>
      <w:r w:rsidRPr="00C06454">
        <w:rPr>
          <w:rFonts w:eastAsia="Times New Roman" w:cstheme="minorHAnsi"/>
          <w:bCs/>
          <w:lang w:eastAsia="it-IT"/>
        </w:rPr>
        <w:t xml:space="preserve"> In data 01.10.20x2 si concede in locazione immobile di proprietà. Il contratto prevede il pagamento di canoni annuali anticipati di Euro 10.000 ciascuno da corrispondersi il 01.10 di ciascun anno.</w:t>
      </w:r>
    </w:p>
    <w:p w14:paraId="21DE03A0" w14:textId="1B0FEABA" w:rsidR="0020284D" w:rsidRPr="00C06454" w:rsidRDefault="0020284D">
      <w:pPr>
        <w:rPr>
          <w:rFonts w:cstheme="minorHAnsi"/>
        </w:rPr>
      </w:pPr>
    </w:p>
    <w:p w14:paraId="4CAC90B3" w14:textId="00E93618" w:rsidR="00386EF0" w:rsidRPr="00C06454" w:rsidRDefault="00386EF0">
      <w:pPr>
        <w:rPr>
          <w:rFonts w:cstheme="minorHAnsi"/>
          <w:b/>
          <w:bCs/>
        </w:rPr>
      </w:pPr>
      <w:r w:rsidRPr="00C06454">
        <w:rPr>
          <w:rFonts w:cstheme="minorHAnsi"/>
          <w:b/>
          <w:bCs/>
        </w:rPr>
        <w:t>ESERCIZIO 2</w:t>
      </w:r>
    </w:p>
    <w:p w14:paraId="70733C5E" w14:textId="77777777" w:rsidR="00386EF0" w:rsidRPr="00C06454" w:rsidRDefault="00386EF0" w:rsidP="00386EF0">
      <w:pPr>
        <w:jc w:val="both"/>
        <w:rPr>
          <w:rFonts w:cstheme="minorHAnsi"/>
        </w:rPr>
      </w:pPr>
      <w:r w:rsidRPr="00C06454">
        <w:rPr>
          <w:rFonts w:cstheme="minorHAnsi"/>
        </w:rPr>
        <w:t>La società Alfa detiene una partecipazione dell’80% nella società Beta acquistata nell’esercizio 2009. Tale partecipazione è iscritta in bilancio al 31/12/2012 valutata con il metodo del patrimonio netto per € 960.000.</w:t>
      </w:r>
    </w:p>
    <w:p w14:paraId="0FDFDF35" w14:textId="77777777" w:rsidR="00386EF0" w:rsidRPr="00C06454" w:rsidRDefault="00386EF0" w:rsidP="00386EF0">
      <w:pPr>
        <w:jc w:val="both"/>
        <w:rPr>
          <w:rFonts w:cstheme="minorHAnsi"/>
        </w:rPr>
      </w:pPr>
      <w:r w:rsidRPr="00C06454">
        <w:rPr>
          <w:rFonts w:cstheme="minorHAnsi"/>
        </w:rPr>
        <w:t>Nel corso del 2013 si verificano i seguenti fatti:</w:t>
      </w:r>
    </w:p>
    <w:p w14:paraId="1A82ADE0" w14:textId="77777777" w:rsidR="00386EF0" w:rsidRPr="00C06454" w:rsidRDefault="00386EF0" w:rsidP="00386EF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</w:rPr>
      </w:pPr>
      <w:r w:rsidRPr="00C06454">
        <w:rPr>
          <w:rFonts w:cstheme="minorHAnsi"/>
        </w:rPr>
        <w:t>la società Beta distribuisce dividendi per € 30.000 complessivi a tutti i propri soci;</w:t>
      </w:r>
    </w:p>
    <w:p w14:paraId="22553801" w14:textId="77777777" w:rsidR="00386EF0" w:rsidRPr="00C06454" w:rsidRDefault="00386EF0" w:rsidP="00386EF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</w:rPr>
      </w:pPr>
      <w:r w:rsidRPr="00C06454">
        <w:rPr>
          <w:rFonts w:cstheme="minorHAnsi"/>
        </w:rPr>
        <w:t>la Beta consegue un utile d’esercizio di € 100.000.</w:t>
      </w:r>
    </w:p>
    <w:p w14:paraId="3A5238BC" w14:textId="77777777" w:rsidR="00386EF0" w:rsidRPr="00C06454" w:rsidRDefault="00386EF0" w:rsidP="00386EF0">
      <w:pPr>
        <w:jc w:val="both"/>
        <w:rPr>
          <w:rFonts w:cstheme="minorHAnsi"/>
        </w:rPr>
      </w:pPr>
      <w:r w:rsidRPr="00C06454">
        <w:rPr>
          <w:rFonts w:cstheme="minorHAnsi"/>
        </w:rPr>
        <w:t>Sapendo che:</w:t>
      </w:r>
    </w:p>
    <w:p w14:paraId="7F574AE0" w14:textId="77777777" w:rsidR="00386EF0" w:rsidRPr="00C06454" w:rsidRDefault="00386EF0" w:rsidP="00386EF0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C06454">
        <w:rPr>
          <w:rFonts w:cstheme="minorHAnsi"/>
        </w:rPr>
        <w:t>la società Alfa corrispose € 800.000 nel 2009 per l’acquisto della partecipazione nella Beta sulla base delle seguenti informazioni, già commisurate alla quota di partecipazione:</w:t>
      </w:r>
    </w:p>
    <w:p w14:paraId="52E0779F" w14:textId="77777777" w:rsidR="00386EF0" w:rsidRPr="00C06454" w:rsidRDefault="00386EF0" w:rsidP="00386EF0">
      <w:pPr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C06454">
        <w:rPr>
          <w:rFonts w:cstheme="minorHAnsi"/>
        </w:rPr>
        <w:t>Patrimonio netto € 500.000;</w:t>
      </w:r>
    </w:p>
    <w:p w14:paraId="0859FF88" w14:textId="77777777" w:rsidR="00386EF0" w:rsidRPr="00C06454" w:rsidRDefault="00386EF0" w:rsidP="00386EF0">
      <w:pPr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C06454">
        <w:rPr>
          <w:rFonts w:cstheme="minorHAnsi"/>
        </w:rPr>
        <w:t>Plusvalenze latenti lorde su fabbricati € 360.000;</w:t>
      </w:r>
    </w:p>
    <w:p w14:paraId="7FACC60A" w14:textId="77777777" w:rsidR="00386EF0" w:rsidRPr="00C06454" w:rsidRDefault="00386EF0" w:rsidP="00386EF0">
      <w:pPr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C06454">
        <w:rPr>
          <w:rFonts w:cstheme="minorHAnsi"/>
        </w:rPr>
        <w:t>Aliquota fiscale latente 25%;</w:t>
      </w:r>
    </w:p>
    <w:p w14:paraId="22367255" w14:textId="77777777" w:rsidR="00386EF0" w:rsidRPr="00C06454" w:rsidRDefault="00386EF0" w:rsidP="00386EF0">
      <w:pPr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C06454">
        <w:rPr>
          <w:rFonts w:cstheme="minorHAnsi"/>
        </w:rPr>
        <w:t>Avviamento per il valore residuale;</w:t>
      </w:r>
    </w:p>
    <w:p w14:paraId="1DCCF4BB" w14:textId="77777777" w:rsidR="00386EF0" w:rsidRPr="00C06454" w:rsidRDefault="00386EF0" w:rsidP="00386EF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</w:rPr>
      </w:pPr>
      <w:r w:rsidRPr="00C06454">
        <w:rPr>
          <w:rFonts w:cstheme="minorHAnsi"/>
        </w:rPr>
        <w:t>le aliquote di ammortamento sono pari al 20% per l’avviamento e al 3% per i fabbricati.</w:t>
      </w:r>
    </w:p>
    <w:p w14:paraId="5AD57935" w14:textId="77777777" w:rsidR="00386EF0" w:rsidRPr="00C06454" w:rsidRDefault="00386EF0" w:rsidP="00386EF0">
      <w:pPr>
        <w:jc w:val="both"/>
        <w:rPr>
          <w:rFonts w:cstheme="minorHAnsi"/>
        </w:rPr>
      </w:pPr>
    </w:p>
    <w:p w14:paraId="4A97C6D6" w14:textId="77777777" w:rsidR="00386EF0" w:rsidRPr="00C06454" w:rsidRDefault="00386EF0" w:rsidP="00386EF0">
      <w:pPr>
        <w:jc w:val="both"/>
        <w:rPr>
          <w:rFonts w:cstheme="minorHAnsi"/>
        </w:rPr>
      </w:pPr>
      <w:r w:rsidRPr="00C06454">
        <w:rPr>
          <w:rFonts w:cstheme="minorHAnsi"/>
        </w:rPr>
        <w:t xml:space="preserve">Si proceda alla valutazione secondo il metodo del </w:t>
      </w:r>
      <w:r w:rsidRPr="00C06454">
        <w:rPr>
          <w:rFonts w:cstheme="minorHAnsi"/>
          <w:b/>
          <w:u w:val="single"/>
        </w:rPr>
        <w:t>patrimonio netto</w:t>
      </w:r>
      <w:r w:rsidRPr="00C06454">
        <w:rPr>
          <w:rFonts w:cstheme="minorHAnsi"/>
        </w:rPr>
        <w:t xml:space="preserve"> della partecipazione della Alfa al 31/12/2013.</w:t>
      </w:r>
    </w:p>
    <w:p w14:paraId="3BB3DEC0" w14:textId="77777777" w:rsidR="00386EF0" w:rsidRPr="00C06454" w:rsidRDefault="00386EF0" w:rsidP="00386EF0">
      <w:pPr>
        <w:jc w:val="both"/>
        <w:rPr>
          <w:rFonts w:cstheme="minorHAnsi"/>
          <w:b/>
        </w:rPr>
      </w:pPr>
    </w:p>
    <w:p w14:paraId="7E7551E0" w14:textId="77777777" w:rsidR="00386EF0" w:rsidRPr="00C06454" w:rsidRDefault="00386EF0" w:rsidP="00386EF0">
      <w:pPr>
        <w:jc w:val="both"/>
        <w:rPr>
          <w:rFonts w:cstheme="minorHAnsi"/>
          <w:b/>
        </w:rPr>
      </w:pPr>
    </w:p>
    <w:p w14:paraId="7C3A8BDE" w14:textId="6D14C439" w:rsidR="00386EF0" w:rsidRPr="00C06454" w:rsidRDefault="00386EF0">
      <w:pPr>
        <w:rPr>
          <w:rFonts w:cstheme="minorHAnsi"/>
        </w:rPr>
      </w:pPr>
    </w:p>
    <w:p w14:paraId="6769D86E" w14:textId="64BA52D5" w:rsidR="00C06454" w:rsidRPr="00C06454" w:rsidRDefault="00C06454" w:rsidP="00C06454">
      <w:pPr>
        <w:rPr>
          <w:rFonts w:cstheme="minorHAnsi"/>
          <w:b/>
          <w:bCs/>
        </w:rPr>
      </w:pPr>
      <w:r w:rsidRPr="00C06454">
        <w:rPr>
          <w:rFonts w:cstheme="minorHAnsi"/>
          <w:b/>
          <w:bCs/>
        </w:rPr>
        <w:lastRenderedPageBreak/>
        <w:t xml:space="preserve">ESERCIZIO </w:t>
      </w:r>
      <w:r w:rsidRPr="00C06454">
        <w:rPr>
          <w:rFonts w:cstheme="minorHAnsi"/>
          <w:b/>
          <w:bCs/>
        </w:rPr>
        <w:t>3</w:t>
      </w:r>
    </w:p>
    <w:p w14:paraId="62A0DD62" w14:textId="77777777" w:rsidR="00C06454" w:rsidRPr="00C06454" w:rsidRDefault="00C06454" w:rsidP="00C06454">
      <w:pPr>
        <w:autoSpaceDE w:val="0"/>
        <w:autoSpaceDN w:val="0"/>
        <w:adjustRightInd w:val="0"/>
        <w:jc w:val="both"/>
        <w:rPr>
          <w:rFonts w:cstheme="minorHAnsi"/>
        </w:rPr>
      </w:pPr>
      <w:r w:rsidRPr="00C06454">
        <w:rPr>
          <w:rFonts w:cstheme="minorHAnsi"/>
        </w:rPr>
        <w:t xml:space="preserve">La società Alfa </w:t>
      </w:r>
      <w:proofErr w:type="spellStart"/>
      <w:r w:rsidRPr="00C06454">
        <w:rPr>
          <w:rFonts w:cstheme="minorHAnsi"/>
        </w:rPr>
        <w:t>s.p.a.</w:t>
      </w:r>
      <w:proofErr w:type="spellEnd"/>
      <w:r w:rsidRPr="00C06454">
        <w:rPr>
          <w:rFonts w:cstheme="minorHAnsi"/>
        </w:rPr>
        <w:t xml:space="preserve"> svolge l’attività di costruzione di fabbricati industriali su ordinazione dei propri clienti. Nel corso dell’esercizio 20x1, la Alfa </w:t>
      </w:r>
      <w:proofErr w:type="spellStart"/>
      <w:r w:rsidRPr="00C06454">
        <w:rPr>
          <w:rFonts w:cstheme="minorHAnsi"/>
        </w:rPr>
        <w:t>s.p.a.</w:t>
      </w:r>
      <w:proofErr w:type="spellEnd"/>
      <w:r w:rsidRPr="00C06454">
        <w:rPr>
          <w:rFonts w:cstheme="minorHAnsi"/>
        </w:rPr>
        <w:t xml:space="preserve"> riceve l’ordine per la realizzazione di un capannone industriale e concorda con il cliente un corrispettivo complessivo per la propria attività pari ad Euro € 250.000</w:t>
      </w:r>
    </w:p>
    <w:p w14:paraId="5059E83E" w14:textId="77777777" w:rsidR="00C06454" w:rsidRPr="00C06454" w:rsidRDefault="00C06454" w:rsidP="00C06454">
      <w:pPr>
        <w:autoSpaceDE w:val="0"/>
        <w:autoSpaceDN w:val="0"/>
        <w:adjustRightInd w:val="0"/>
        <w:jc w:val="both"/>
        <w:rPr>
          <w:rFonts w:cstheme="minorHAnsi"/>
        </w:rPr>
      </w:pPr>
      <w:r w:rsidRPr="00C06454">
        <w:rPr>
          <w:rFonts w:cstheme="minorHAnsi"/>
        </w:rPr>
        <w:t xml:space="preserve">La durata della commessa è di 3 anni. </w:t>
      </w:r>
    </w:p>
    <w:p w14:paraId="242F8517" w14:textId="77777777" w:rsidR="00C06454" w:rsidRPr="00C06454" w:rsidRDefault="00C06454" w:rsidP="00C06454">
      <w:pPr>
        <w:autoSpaceDE w:val="0"/>
        <w:autoSpaceDN w:val="0"/>
        <w:adjustRightInd w:val="0"/>
        <w:jc w:val="both"/>
        <w:rPr>
          <w:rFonts w:cstheme="minorHAnsi"/>
        </w:rPr>
      </w:pPr>
      <w:r w:rsidRPr="00C06454">
        <w:rPr>
          <w:rFonts w:cstheme="minorHAnsi"/>
        </w:rPr>
        <w:t>Dal preventivo dei costi risulta quanto segue:</w:t>
      </w:r>
    </w:p>
    <w:p w14:paraId="4E1192C7" w14:textId="77777777" w:rsidR="00C06454" w:rsidRPr="00C06454" w:rsidRDefault="00C06454" w:rsidP="00C0645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700" w:type="dxa"/>
        <w:tblLook w:val="04A0" w:firstRow="1" w:lastRow="0" w:firstColumn="1" w:lastColumn="0" w:noHBand="0" w:noVBand="1"/>
      </w:tblPr>
      <w:tblGrid>
        <w:gridCol w:w="1186"/>
        <w:gridCol w:w="1942"/>
      </w:tblGrid>
      <w:tr w:rsidR="00C06454" w:rsidRPr="00C06454" w14:paraId="3D1AD165" w14:textId="77777777" w:rsidTr="00C06454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CAD1" w14:textId="77777777" w:rsidR="00C06454" w:rsidRPr="00C06454" w:rsidRDefault="00C06454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96455" w14:textId="77777777" w:rsidR="00C06454" w:rsidRPr="00C06454" w:rsidRDefault="00C06454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645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Costi di Produzione </w:t>
            </w:r>
          </w:p>
        </w:tc>
      </w:tr>
      <w:tr w:rsidR="00C06454" w:rsidRPr="00C06454" w14:paraId="49F9ACA9" w14:textId="77777777" w:rsidTr="00C06454">
        <w:trPr>
          <w:trHeight w:val="2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FD23A" w14:textId="77777777" w:rsidR="00C06454" w:rsidRPr="00C06454" w:rsidRDefault="00C06454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645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al 31.12.x1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0E04C" w14:textId="77777777" w:rsidR="00C06454" w:rsidRPr="00C06454" w:rsidRDefault="00C06454">
            <w:pPr>
              <w:pStyle w:val="Default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645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€ 40.000</w:t>
            </w:r>
          </w:p>
        </w:tc>
      </w:tr>
      <w:tr w:rsidR="00C06454" w:rsidRPr="00C06454" w14:paraId="125BC003" w14:textId="77777777" w:rsidTr="00C06454">
        <w:trPr>
          <w:trHeight w:val="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19C33" w14:textId="77777777" w:rsidR="00C06454" w:rsidRPr="00C06454" w:rsidRDefault="00C06454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645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al 31.12.x2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20AF8" w14:textId="77777777" w:rsidR="00C06454" w:rsidRPr="00C06454" w:rsidRDefault="00C06454">
            <w:pPr>
              <w:pStyle w:val="Default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645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€ 60.000</w:t>
            </w:r>
          </w:p>
        </w:tc>
      </w:tr>
      <w:tr w:rsidR="00C06454" w:rsidRPr="00C06454" w14:paraId="3F5437D5" w14:textId="77777777" w:rsidTr="00C06454">
        <w:trPr>
          <w:trHeight w:val="2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1E67D" w14:textId="77777777" w:rsidR="00C06454" w:rsidRPr="00C06454" w:rsidRDefault="00C06454">
            <w:pPr>
              <w:pStyle w:val="Default"/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645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al 31.12.x3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43A7A" w14:textId="77777777" w:rsidR="00C06454" w:rsidRPr="00C06454" w:rsidRDefault="00C06454">
            <w:pPr>
              <w:pStyle w:val="Default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0645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€ 67.500</w:t>
            </w:r>
          </w:p>
        </w:tc>
      </w:tr>
    </w:tbl>
    <w:p w14:paraId="1CEEB43B" w14:textId="77777777" w:rsidR="00C06454" w:rsidRPr="00C06454" w:rsidRDefault="00C06454" w:rsidP="00C06454">
      <w:pPr>
        <w:autoSpaceDE w:val="0"/>
        <w:autoSpaceDN w:val="0"/>
        <w:adjustRightInd w:val="0"/>
        <w:jc w:val="both"/>
        <w:rPr>
          <w:rFonts w:eastAsia="Calibri" w:cstheme="minorHAnsi"/>
        </w:rPr>
      </w:pPr>
    </w:p>
    <w:p w14:paraId="0C850AB6" w14:textId="77777777" w:rsidR="00C06454" w:rsidRPr="00C06454" w:rsidRDefault="00C06454" w:rsidP="00C06454">
      <w:pPr>
        <w:autoSpaceDE w:val="0"/>
        <w:autoSpaceDN w:val="0"/>
        <w:adjustRightInd w:val="0"/>
        <w:jc w:val="both"/>
        <w:rPr>
          <w:rFonts w:cstheme="minorHAnsi"/>
        </w:rPr>
      </w:pPr>
      <w:r w:rsidRPr="00C06454">
        <w:rPr>
          <w:rFonts w:cstheme="minorHAnsi"/>
        </w:rPr>
        <w:t>Nel corso dell’esercizio 20x1, la produzione si svolge secondo i piani previsti e il preventivo di costo per quell’anno viene rispettato.</w:t>
      </w:r>
    </w:p>
    <w:p w14:paraId="6B789C40" w14:textId="56D7CDCA" w:rsidR="00C06454" w:rsidRPr="00C06454" w:rsidRDefault="00C06454" w:rsidP="00C06454">
      <w:pPr>
        <w:autoSpaceDE w:val="0"/>
        <w:autoSpaceDN w:val="0"/>
        <w:adjustRightInd w:val="0"/>
        <w:jc w:val="both"/>
        <w:rPr>
          <w:rFonts w:cstheme="minorHAnsi"/>
        </w:rPr>
      </w:pPr>
      <w:r w:rsidRPr="00C06454">
        <w:rPr>
          <w:rFonts w:cstheme="minorHAnsi"/>
        </w:rPr>
        <w:t xml:space="preserve">Nel 20x2 Alfa </w:t>
      </w:r>
      <w:proofErr w:type="spellStart"/>
      <w:r w:rsidRPr="00C06454">
        <w:rPr>
          <w:rFonts w:cstheme="minorHAnsi"/>
        </w:rPr>
        <w:t>s.p.a.</w:t>
      </w:r>
      <w:proofErr w:type="spellEnd"/>
      <w:r w:rsidRPr="00C06454">
        <w:rPr>
          <w:rFonts w:cstheme="minorHAnsi"/>
        </w:rPr>
        <w:t xml:space="preserve"> procede alla rilevazione dei costi di commessa e a ristimare i costi per l’esercizio 20x3. Sulla base delle elaborazioni effettuate risulta che nel corso del 20x2 i costi di commessa siano stati 75.000 e che nel 20x3 i costi di completamento della commessa medesima saranno di 80.000 Euro, anziché come originariamente previsto di 67.500.</w:t>
      </w:r>
    </w:p>
    <w:p w14:paraId="19B337E5" w14:textId="561CA920" w:rsidR="00C06454" w:rsidRDefault="00C06454" w:rsidP="00C06454">
      <w:pPr>
        <w:autoSpaceDE w:val="0"/>
        <w:autoSpaceDN w:val="0"/>
        <w:adjustRightInd w:val="0"/>
        <w:jc w:val="both"/>
        <w:rPr>
          <w:rFonts w:cstheme="minorHAnsi"/>
        </w:rPr>
      </w:pPr>
      <w:r w:rsidRPr="00C06454">
        <w:rPr>
          <w:rFonts w:cstheme="minorHAnsi"/>
        </w:rPr>
        <w:t xml:space="preserve">Si proceda alla valutazione del lavoro in corso su ordinazione e si evidenzi il margine reddituale maturato al termine di ciascuno degli esercizi considerati (20x1 – 20x2 – 20x3) utilizzando il metodo della percentuale di completamento e sapendo che il metodo per la determinazione dello stato di avanzamento dei lavori è quello </w:t>
      </w:r>
      <w:r w:rsidRPr="00C06454">
        <w:rPr>
          <w:rFonts w:cstheme="minorHAnsi"/>
          <w:i/>
        </w:rPr>
        <w:t>cost to cost.</w:t>
      </w:r>
      <w:r w:rsidRPr="00C06454">
        <w:rPr>
          <w:rFonts w:cstheme="minorHAnsi"/>
        </w:rPr>
        <w:t xml:space="preserve">  </w:t>
      </w:r>
    </w:p>
    <w:p w14:paraId="2491231E" w14:textId="77777777" w:rsidR="00C06454" w:rsidRPr="00C06454" w:rsidRDefault="00C06454" w:rsidP="00C06454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2BCA988" w14:textId="3117F9AD" w:rsidR="00C06454" w:rsidRPr="00C06454" w:rsidRDefault="00C06454" w:rsidP="00C06454">
      <w:pPr>
        <w:jc w:val="both"/>
        <w:rPr>
          <w:rFonts w:cstheme="minorHAnsi"/>
          <w:b/>
          <w:bCs/>
          <w:sz w:val="24"/>
          <w:szCs w:val="24"/>
        </w:rPr>
      </w:pPr>
      <w:r w:rsidRPr="00C06454">
        <w:rPr>
          <w:rFonts w:cstheme="minorHAnsi"/>
          <w:b/>
          <w:bCs/>
          <w:sz w:val="24"/>
          <w:szCs w:val="24"/>
        </w:rPr>
        <w:t xml:space="preserve">ESERCIZIO </w:t>
      </w:r>
      <w:r w:rsidRPr="00C06454">
        <w:rPr>
          <w:rFonts w:cstheme="minorHAnsi"/>
          <w:b/>
          <w:bCs/>
          <w:sz w:val="24"/>
          <w:szCs w:val="24"/>
        </w:rPr>
        <w:t>4</w:t>
      </w:r>
    </w:p>
    <w:p w14:paraId="1AC08AAB" w14:textId="77777777" w:rsidR="00C06454" w:rsidRPr="00C06454" w:rsidRDefault="00C06454" w:rsidP="00C06454">
      <w:pPr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>In data 01/01/20x2 la società Beta S.p.A. ha acquistato una partecipazione del 40% per Euro 80.000 Euro nella Omega S.r.l. In tale data la situazione contabile di Omega S.r.l. era la seguente:</w:t>
      </w:r>
    </w:p>
    <w:p w14:paraId="679487CE" w14:textId="77777777" w:rsidR="00C06454" w:rsidRPr="00C06454" w:rsidRDefault="00C06454" w:rsidP="00C06454">
      <w:pPr>
        <w:jc w:val="both"/>
        <w:rPr>
          <w:rFonts w:cstheme="minorHAnsi"/>
          <w:bCs/>
          <w:sz w:val="24"/>
          <w:szCs w:val="24"/>
        </w:rPr>
      </w:pPr>
    </w:p>
    <w:p w14:paraId="50EF2D4B" w14:textId="21621AB8" w:rsidR="00C06454" w:rsidRDefault="00C06454" w:rsidP="00C06454">
      <w:pPr>
        <w:jc w:val="center"/>
        <w:rPr>
          <w:rFonts w:cstheme="minorHAnsi"/>
          <w:bCs/>
          <w:sz w:val="24"/>
          <w:szCs w:val="24"/>
        </w:rPr>
      </w:pPr>
      <w:r w:rsidRPr="00C06454">
        <w:rPr>
          <w:rFonts w:eastAsia="Calibri" w:cstheme="minorHAnsi"/>
          <w:bCs/>
          <w:sz w:val="24"/>
          <w:szCs w:val="24"/>
        </w:rPr>
        <w:object w:dxaOrig="5355" w:dyaOrig="2535" w14:anchorId="58CB1A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267.75pt;height:126.75pt" o:ole="">
            <v:imagedata r:id="rId5" o:title=""/>
          </v:shape>
          <o:OLEObject Type="Embed" ProgID="Excel.Sheet.8" ShapeID="_x0000_i1047" DrawAspect="Content" ObjectID="_1741780738" r:id="rId6"/>
        </w:object>
      </w:r>
    </w:p>
    <w:p w14:paraId="4BA7BE50" w14:textId="77777777" w:rsidR="00C06454" w:rsidRPr="00C06454" w:rsidRDefault="00C06454" w:rsidP="00C06454">
      <w:pPr>
        <w:jc w:val="center"/>
        <w:rPr>
          <w:rFonts w:cstheme="minorHAnsi"/>
          <w:bCs/>
          <w:sz w:val="24"/>
          <w:szCs w:val="24"/>
        </w:rPr>
      </w:pPr>
    </w:p>
    <w:p w14:paraId="02A97C87" w14:textId="77777777" w:rsidR="00C06454" w:rsidRPr="00C06454" w:rsidRDefault="00C06454" w:rsidP="00C06454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 xml:space="preserve">Si proceda alla </w:t>
      </w:r>
      <w:r w:rsidRPr="00C06454">
        <w:rPr>
          <w:rFonts w:cstheme="minorHAnsi"/>
          <w:b/>
          <w:bCs/>
          <w:sz w:val="24"/>
          <w:szCs w:val="24"/>
          <w:u w:val="single"/>
        </w:rPr>
        <w:t>scomposizione del prezzo d’acquisto</w:t>
      </w:r>
      <w:r w:rsidRPr="00C06454">
        <w:rPr>
          <w:rFonts w:cstheme="minorHAnsi"/>
          <w:bCs/>
          <w:sz w:val="24"/>
          <w:szCs w:val="24"/>
        </w:rPr>
        <w:t xml:space="preserve"> e alla </w:t>
      </w:r>
      <w:r w:rsidRPr="00C06454">
        <w:rPr>
          <w:rFonts w:cstheme="minorHAnsi"/>
          <w:b/>
          <w:bCs/>
          <w:sz w:val="24"/>
          <w:szCs w:val="24"/>
          <w:u w:val="single"/>
        </w:rPr>
        <w:t>valutazione della partecipazione</w:t>
      </w:r>
      <w:r w:rsidRPr="00C06454">
        <w:rPr>
          <w:rFonts w:cstheme="minorHAnsi"/>
          <w:bCs/>
          <w:sz w:val="24"/>
          <w:szCs w:val="24"/>
        </w:rPr>
        <w:t xml:space="preserve"> della partecipazione di Beta S.p.A. in Omega S.r.l al 31/12/20x2 tenendo presente che: </w:t>
      </w:r>
    </w:p>
    <w:p w14:paraId="3B1AF832" w14:textId="77777777" w:rsidR="00C06454" w:rsidRPr="00C06454" w:rsidRDefault="00C06454" w:rsidP="00C06454">
      <w:pPr>
        <w:overflowPunct w:val="0"/>
        <w:autoSpaceDE w:val="0"/>
        <w:autoSpaceDN w:val="0"/>
        <w:adjustRightInd w:val="0"/>
        <w:jc w:val="both"/>
        <w:textAlignment w:val="baseline"/>
        <w:rPr>
          <w:rFonts w:cstheme="minorHAnsi"/>
          <w:bCs/>
          <w:sz w:val="24"/>
          <w:szCs w:val="24"/>
        </w:rPr>
      </w:pPr>
    </w:p>
    <w:p w14:paraId="14B07601" w14:textId="77777777" w:rsidR="00C06454" w:rsidRPr="00C06454" w:rsidRDefault="00C06454" w:rsidP="00C0645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lastRenderedPageBreak/>
        <w:t>Gli importi delle voci dell’attivo sono al netto delle relative poste rettificative.</w:t>
      </w:r>
    </w:p>
    <w:p w14:paraId="50ABB4B1" w14:textId="77777777" w:rsidR="00C06454" w:rsidRPr="00C06454" w:rsidRDefault="00C06454" w:rsidP="00C0645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 xml:space="preserve">Il valore corrente degli immobili è di 250.000 e la vita utile residua è di 20 anni </w:t>
      </w:r>
    </w:p>
    <w:p w14:paraId="663FCA35" w14:textId="77777777" w:rsidR="00C06454" w:rsidRPr="00C06454" w:rsidRDefault="00C06454" w:rsidP="00C0645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>Il valore corrente dei terreni è di 50.000.</w:t>
      </w:r>
    </w:p>
    <w:p w14:paraId="383D4046" w14:textId="77777777" w:rsidR="00C06454" w:rsidRPr="00C06454" w:rsidRDefault="00C06454" w:rsidP="00C0645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>Il valore corrente degli impianti è di 130.000 e la vita utile residua è di 5 anni</w:t>
      </w:r>
    </w:p>
    <w:p w14:paraId="20D7A249" w14:textId="77777777" w:rsidR="00C06454" w:rsidRPr="00C06454" w:rsidRDefault="00C06454" w:rsidP="00C0645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 xml:space="preserve">L’eventuale avviamento è ammortizzato in 5 anni. </w:t>
      </w:r>
    </w:p>
    <w:p w14:paraId="0B7990BB" w14:textId="77777777" w:rsidR="00C06454" w:rsidRPr="00C06454" w:rsidRDefault="00C06454" w:rsidP="00C06454">
      <w:pPr>
        <w:jc w:val="both"/>
        <w:rPr>
          <w:rFonts w:cstheme="minorHAnsi"/>
          <w:bCs/>
          <w:sz w:val="24"/>
          <w:szCs w:val="24"/>
        </w:rPr>
      </w:pPr>
    </w:p>
    <w:p w14:paraId="51B210FA" w14:textId="77777777" w:rsidR="00C06454" w:rsidRPr="00C06454" w:rsidRDefault="00C06454" w:rsidP="00C06454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>Gli effetti fiscali, nel caso in cui debbano essere considerati, vanno computati sulla base dell’aliquota forfettaria del 30%.</w:t>
      </w:r>
    </w:p>
    <w:p w14:paraId="374225C1" w14:textId="77777777" w:rsidR="00C06454" w:rsidRPr="00C06454" w:rsidRDefault="00C06454" w:rsidP="00C06454">
      <w:pPr>
        <w:ind w:left="360"/>
        <w:jc w:val="both"/>
        <w:rPr>
          <w:rFonts w:cstheme="minorHAnsi"/>
          <w:bCs/>
          <w:sz w:val="24"/>
          <w:szCs w:val="24"/>
        </w:rPr>
      </w:pPr>
    </w:p>
    <w:p w14:paraId="7FAF3C45" w14:textId="77777777" w:rsidR="00C06454" w:rsidRPr="00C06454" w:rsidRDefault="00C06454" w:rsidP="00C06454">
      <w:pPr>
        <w:ind w:left="360"/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>Nel corso del 20x2 si sono verificati, tra gli altri, i seguenti accadimenti:</w:t>
      </w:r>
    </w:p>
    <w:p w14:paraId="00A81722" w14:textId="77777777" w:rsidR="00C06454" w:rsidRPr="00C06454" w:rsidRDefault="00C06454" w:rsidP="00C06454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>Omega ha distribuito dividendi per complessivi 24.000 Euro;</w:t>
      </w:r>
    </w:p>
    <w:p w14:paraId="4B8C34C3" w14:textId="77777777" w:rsidR="00C06454" w:rsidRPr="00C06454" w:rsidRDefault="00C06454" w:rsidP="00C06454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>Omega ha realizzato un utile netto di Euro 45.000;</w:t>
      </w:r>
    </w:p>
    <w:p w14:paraId="5CD10CA2" w14:textId="77777777" w:rsidR="00C06454" w:rsidRPr="00C06454" w:rsidRDefault="00C06454" w:rsidP="00C06454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 xml:space="preserve">La società Omega ha acquistato sul mercato 15.000 prodotti al prezzo unitario di € 60 rivendendone in seguito 11.000 alla società controllante al prezzo unitario di 80 prodotti. </w:t>
      </w:r>
    </w:p>
    <w:p w14:paraId="5ADE8874" w14:textId="77777777" w:rsidR="00C06454" w:rsidRPr="00C06454" w:rsidRDefault="00C06454" w:rsidP="00C06454">
      <w:pPr>
        <w:ind w:left="1080"/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 xml:space="preserve">La società Beta, nel corso dell’esercizio vende sul mercato, ad un prezzo unitario di 100, 10.000 unità, il rimanente è in giacenza di magazzino. </w:t>
      </w:r>
    </w:p>
    <w:p w14:paraId="2625AFAC" w14:textId="77777777" w:rsidR="00C06454" w:rsidRPr="00C06454" w:rsidRDefault="00C06454" w:rsidP="00C06454">
      <w:pPr>
        <w:ind w:left="1080"/>
        <w:jc w:val="both"/>
        <w:rPr>
          <w:rFonts w:cstheme="minorHAnsi"/>
          <w:bCs/>
          <w:sz w:val="24"/>
          <w:szCs w:val="24"/>
        </w:rPr>
      </w:pPr>
    </w:p>
    <w:p w14:paraId="0ED111AF" w14:textId="58E90B3F" w:rsidR="00C06454" w:rsidRPr="00C06454" w:rsidRDefault="00C06454" w:rsidP="00C06454">
      <w:pPr>
        <w:rPr>
          <w:rFonts w:cstheme="minorHAnsi"/>
          <w:b/>
          <w:bCs/>
          <w:sz w:val="24"/>
          <w:szCs w:val="24"/>
        </w:rPr>
      </w:pPr>
      <w:r w:rsidRPr="00C06454">
        <w:rPr>
          <w:rFonts w:cstheme="minorHAnsi"/>
          <w:b/>
          <w:bCs/>
          <w:sz w:val="24"/>
          <w:szCs w:val="24"/>
        </w:rPr>
        <w:t xml:space="preserve">ESERCIZIO </w:t>
      </w:r>
      <w:r>
        <w:rPr>
          <w:rFonts w:cstheme="minorHAnsi"/>
          <w:b/>
          <w:bCs/>
          <w:sz w:val="24"/>
          <w:szCs w:val="24"/>
        </w:rPr>
        <w:t>5</w:t>
      </w:r>
    </w:p>
    <w:p w14:paraId="6B676722" w14:textId="7D3CE91D" w:rsidR="00C06454" w:rsidRPr="00C06454" w:rsidRDefault="00C06454" w:rsidP="00C06454">
      <w:pPr>
        <w:rPr>
          <w:rFonts w:cstheme="minorHAnsi"/>
          <w:sz w:val="24"/>
          <w:szCs w:val="24"/>
        </w:rPr>
      </w:pPr>
      <w:r w:rsidRPr="00C06454">
        <w:rPr>
          <w:rFonts w:cstheme="minorHAnsi"/>
          <w:sz w:val="24"/>
          <w:szCs w:val="24"/>
        </w:rPr>
        <w:t>La società Caio Spa acquista in data 01/07/T1 un macchinario per la produzione di pennarelli, il costo di acquisto è pari a 600.000€, gli amministratori stimano una vita utile di 10 anni e che il valore residuo al termine della vita utile sia irrilevante.</w:t>
      </w:r>
    </w:p>
    <w:p w14:paraId="208BDDDC" w14:textId="24C7E683" w:rsidR="00C06454" w:rsidRPr="00C06454" w:rsidRDefault="00C06454" w:rsidP="00C06454">
      <w:pPr>
        <w:rPr>
          <w:rFonts w:cstheme="minorHAnsi"/>
          <w:sz w:val="24"/>
          <w:szCs w:val="24"/>
        </w:rPr>
      </w:pPr>
      <w:r w:rsidRPr="00C06454">
        <w:rPr>
          <w:rFonts w:cstheme="minorHAnsi"/>
          <w:sz w:val="24"/>
          <w:szCs w:val="24"/>
        </w:rPr>
        <w:t xml:space="preserve">Al termine del T3 gli amministratori valutano, tenuto conto dell’andamento del mercato e dopo aver costruito il </w:t>
      </w:r>
      <w:r w:rsidRPr="00C06454">
        <w:rPr>
          <w:rFonts w:cstheme="minorHAnsi"/>
          <w:i/>
          <w:sz w:val="24"/>
          <w:szCs w:val="24"/>
        </w:rPr>
        <w:t>business plan</w:t>
      </w:r>
      <w:r w:rsidRPr="00C06454">
        <w:rPr>
          <w:rFonts w:cstheme="minorHAnsi"/>
          <w:sz w:val="24"/>
          <w:szCs w:val="24"/>
        </w:rPr>
        <w:t xml:space="preserve"> per i successivi 5 anni, se vi sono i presupposti per svalutare:</w:t>
      </w:r>
    </w:p>
    <w:tbl>
      <w:tblPr>
        <w:tblW w:w="8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960"/>
        <w:gridCol w:w="960"/>
        <w:gridCol w:w="960"/>
        <w:gridCol w:w="960"/>
        <w:gridCol w:w="960"/>
        <w:gridCol w:w="960"/>
      </w:tblGrid>
      <w:tr w:rsidR="00C06454" w:rsidRPr="00C06454" w14:paraId="332523C2" w14:textId="77777777" w:rsidTr="00C06454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F3CD" w14:textId="77777777" w:rsidR="00C06454" w:rsidRPr="00C06454" w:rsidRDefault="00C06454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BFC2" w14:textId="77777777" w:rsidR="00C06454" w:rsidRPr="00C06454" w:rsidRDefault="00C0645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6FD5" w14:textId="77777777" w:rsidR="00C06454" w:rsidRPr="00C06454" w:rsidRDefault="00C0645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300B" w14:textId="77777777" w:rsidR="00C06454" w:rsidRPr="00C06454" w:rsidRDefault="00C0645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04E4" w14:textId="77777777" w:rsidR="00C06454" w:rsidRPr="00C06454" w:rsidRDefault="00C0645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7213" w14:textId="77777777" w:rsidR="00C06454" w:rsidRPr="00C06454" w:rsidRDefault="00C0645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152C" w14:textId="77777777" w:rsidR="00C06454" w:rsidRPr="00C06454" w:rsidRDefault="00C06454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TOTALE</w:t>
            </w:r>
          </w:p>
        </w:tc>
      </w:tr>
      <w:tr w:rsidR="00C06454" w:rsidRPr="00C06454" w14:paraId="7A9B816E" w14:textId="77777777" w:rsidTr="00C0645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9D19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RICAVI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96D4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40.000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3F8D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B35B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6733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F1C2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7E55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390.000</w:t>
            </w:r>
          </w:p>
        </w:tc>
      </w:tr>
      <w:tr w:rsidR="00C06454" w:rsidRPr="00C06454" w14:paraId="0BE79A29" w14:textId="77777777" w:rsidTr="00C0645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5139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COSTI VARIABILI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BFB7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-30.000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984F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-25.000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FDD2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2313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7C2D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8FE2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-94.000</w:t>
            </w:r>
          </w:p>
        </w:tc>
      </w:tr>
      <w:tr w:rsidR="00C06454" w:rsidRPr="00C06454" w14:paraId="2E788B47" w14:textId="77777777" w:rsidTr="00C0645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CE31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COSTI FISSI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0996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ACE3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61CC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A714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672F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4367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-50.000</w:t>
            </w:r>
          </w:p>
        </w:tc>
      </w:tr>
      <w:tr w:rsidR="00C06454" w:rsidRPr="00C06454" w14:paraId="7E78C67B" w14:textId="77777777" w:rsidTr="00C0645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3F9DC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ONERI FINANZIARI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4950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341E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2343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B9C4D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2371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8E6C" w14:textId="77777777" w:rsidR="00C06454" w:rsidRPr="00C06454" w:rsidRDefault="00C06454">
            <w:pPr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-5.000</w:t>
            </w:r>
          </w:p>
        </w:tc>
      </w:tr>
      <w:tr w:rsidR="00C06454" w:rsidRPr="00C06454" w14:paraId="7624B103" w14:textId="77777777" w:rsidTr="00C0645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699F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CAPACITA' AMMORTAMENTO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EC3A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4377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F044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37D9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3CD4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3EF3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06454" w:rsidRPr="00C06454" w14:paraId="0E0F7E28" w14:textId="77777777" w:rsidTr="00C0645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BDE4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AMMORTAMENTO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D321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8A35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D856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4736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D900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D4E7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06454" w:rsidRPr="00C06454" w14:paraId="664202F6" w14:textId="77777777" w:rsidTr="00C06454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8F04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RISULTATO NETTO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2EB2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3CE1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51E4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5C9D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C322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CFDD" w14:textId="77777777" w:rsidR="00C06454" w:rsidRPr="00C06454" w:rsidRDefault="00C0645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06454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6311539A" w14:textId="77777777" w:rsidR="00C06454" w:rsidRPr="00C06454" w:rsidRDefault="00C06454" w:rsidP="00C06454">
      <w:pPr>
        <w:rPr>
          <w:rFonts w:cstheme="minorHAnsi"/>
          <w:sz w:val="24"/>
          <w:szCs w:val="24"/>
          <w:highlight w:val="yellow"/>
        </w:rPr>
      </w:pPr>
    </w:p>
    <w:p w14:paraId="2AC1268B" w14:textId="77777777" w:rsidR="00C06454" w:rsidRPr="00C06454" w:rsidRDefault="00C06454" w:rsidP="00C06454">
      <w:pPr>
        <w:rPr>
          <w:rFonts w:cstheme="minorHAnsi"/>
          <w:sz w:val="24"/>
          <w:szCs w:val="24"/>
        </w:rPr>
      </w:pPr>
      <w:r w:rsidRPr="00C06454">
        <w:rPr>
          <w:rFonts w:cstheme="minorHAnsi"/>
          <w:sz w:val="24"/>
          <w:szCs w:val="24"/>
        </w:rPr>
        <w:t>Si proceda a calcolare l’eventuale importo della svalutazione, ad effettuare le opportune scritture contabili per l’anno T3 e a indicare il valore netto contabile al termine del T3 del macchinario.</w:t>
      </w:r>
    </w:p>
    <w:p w14:paraId="79ED4BC6" w14:textId="77777777" w:rsidR="00C06454" w:rsidRPr="00C06454" w:rsidRDefault="00C06454" w:rsidP="00C06454">
      <w:pPr>
        <w:rPr>
          <w:rFonts w:eastAsiaTheme="minorEastAsia" w:cstheme="minorHAnsi"/>
          <w:b/>
          <w:bCs/>
          <w:sz w:val="24"/>
          <w:szCs w:val="24"/>
          <w:lang w:val="x-none"/>
        </w:rPr>
      </w:pPr>
    </w:p>
    <w:p w14:paraId="2FDA8853" w14:textId="32E9A357" w:rsidR="00C06454" w:rsidRPr="00C06454" w:rsidRDefault="00C06454" w:rsidP="00C06454">
      <w:pPr>
        <w:rPr>
          <w:rFonts w:eastAsiaTheme="minorEastAsia" w:cstheme="minorHAnsi"/>
          <w:b/>
          <w:bCs/>
          <w:sz w:val="24"/>
          <w:szCs w:val="24"/>
        </w:rPr>
      </w:pPr>
      <w:r>
        <w:rPr>
          <w:rFonts w:eastAsiaTheme="minorEastAsia" w:cstheme="minorHAnsi"/>
          <w:b/>
          <w:bCs/>
          <w:sz w:val="24"/>
          <w:szCs w:val="24"/>
        </w:rPr>
        <w:lastRenderedPageBreak/>
        <w:t>ESERCIZIO 6</w:t>
      </w:r>
    </w:p>
    <w:p w14:paraId="61BE441B" w14:textId="77777777" w:rsidR="00C06454" w:rsidRPr="00C06454" w:rsidRDefault="00C06454" w:rsidP="00C06454">
      <w:pPr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 xml:space="preserve">La società </w:t>
      </w:r>
      <w:proofErr w:type="spellStart"/>
      <w:r w:rsidRPr="00C06454">
        <w:rPr>
          <w:rFonts w:cstheme="minorHAnsi"/>
          <w:bCs/>
          <w:sz w:val="24"/>
          <w:szCs w:val="24"/>
        </w:rPr>
        <w:t>Eviva</w:t>
      </w:r>
      <w:proofErr w:type="spellEnd"/>
      <w:r w:rsidRPr="00C0645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C06454">
        <w:rPr>
          <w:rFonts w:cstheme="minorHAnsi"/>
          <w:bCs/>
          <w:sz w:val="24"/>
          <w:szCs w:val="24"/>
        </w:rPr>
        <w:t>Srl</w:t>
      </w:r>
      <w:proofErr w:type="spellEnd"/>
      <w:r w:rsidRPr="00C06454">
        <w:rPr>
          <w:rFonts w:cstheme="minorHAnsi"/>
          <w:bCs/>
          <w:sz w:val="24"/>
          <w:szCs w:val="24"/>
        </w:rPr>
        <w:t xml:space="preserve"> opera nel settore del commercio al dettaglio; nella tabella seguente sono riassunte le movimentazioni intervenute nel corso del 20x2 nelle giacenze di uno dei prodotti (“SS”) venduto dalla società. Le rimanenze del prodotto SS in data 01/01/20x2 sono pari a 8.000 acquistate ad un prezzo pari a 5,00.</w:t>
      </w:r>
    </w:p>
    <w:p w14:paraId="5B479992" w14:textId="77777777" w:rsidR="00C06454" w:rsidRPr="00C06454" w:rsidRDefault="00C06454" w:rsidP="00C06454">
      <w:pPr>
        <w:pStyle w:val="Corpotesto"/>
        <w:rPr>
          <w:rFonts w:cstheme="minorHAnsi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"/>
        <w:gridCol w:w="1597"/>
        <w:gridCol w:w="1397"/>
        <w:gridCol w:w="1481"/>
      </w:tblGrid>
      <w:tr w:rsidR="00C06454" w:rsidRPr="00C06454" w14:paraId="3FE8D8EE" w14:textId="77777777" w:rsidTr="00480FEF">
        <w:trPr>
          <w:jc w:val="center"/>
        </w:trPr>
        <w:tc>
          <w:tcPr>
            <w:tcW w:w="752" w:type="dxa"/>
          </w:tcPr>
          <w:p w14:paraId="64DB671B" w14:textId="77777777" w:rsidR="00C06454" w:rsidRPr="00C06454" w:rsidRDefault="00C06454" w:rsidP="00480FEF">
            <w:pPr>
              <w:pStyle w:val="Corpotes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1597" w:type="dxa"/>
          </w:tcPr>
          <w:p w14:paraId="500F5452" w14:textId="77777777" w:rsidR="00C06454" w:rsidRPr="00C06454" w:rsidRDefault="00C06454" w:rsidP="00480FEF">
            <w:pPr>
              <w:pStyle w:val="Corpotes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Q.tà acquistate</w:t>
            </w:r>
          </w:p>
        </w:tc>
        <w:tc>
          <w:tcPr>
            <w:tcW w:w="1397" w:type="dxa"/>
          </w:tcPr>
          <w:p w14:paraId="77229BA3" w14:textId="77777777" w:rsidR="00C06454" w:rsidRPr="00C06454" w:rsidRDefault="00C06454" w:rsidP="00480FEF">
            <w:pPr>
              <w:pStyle w:val="Corpotes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Q.tà vendute</w:t>
            </w:r>
          </w:p>
        </w:tc>
        <w:tc>
          <w:tcPr>
            <w:tcW w:w="1481" w:type="dxa"/>
          </w:tcPr>
          <w:p w14:paraId="05B9B1DB" w14:textId="77777777" w:rsidR="00C06454" w:rsidRPr="00C06454" w:rsidRDefault="00C06454" w:rsidP="00480FEF">
            <w:pPr>
              <w:pStyle w:val="Corpotes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Prezzo di acquisto</w:t>
            </w:r>
          </w:p>
        </w:tc>
      </w:tr>
      <w:tr w:rsidR="00C06454" w:rsidRPr="00C06454" w14:paraId="12030EBB" w14:textId="77777777" w:rsidTr="00480FEF">
        <w:trPr>
          <w:jc w:val="center"/>
        </w:trPr>
        <w:tc>
          <w:tcPr>
            <w:tcW w:w="752" w:type="dxa"/>
          </w:tcPr>
          <w:p w14:paraId="62D6E90B" w14:textId="77777777" w:rsidR="00C06454" w:rsidRPr="00C06454" w:rsidRDefault="00C06454" w:rsidP="00480FEF">
            <w:pPr>
              <w:pStyle w:val="Corpotesto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01/04</w:t>
            </w:r>
          </w:p>
        </w:tc>
        <w:tc>
          <w:tcPr>
            <w:tcW w:w="1597" w:type="dxa"/>
          </w:tcPr>
          <w:p w14:paraId="69B728E1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12.000</w:t>
            </w:r>
          </w:p>
        </w:tc>
        <w:tc>
          <w:tcPr>
            <w:tcW w:w="1397" w:type="dxa"/>
          </w:tcPr>
          <w:p w14:paraId="32A8306E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14:paraId="7956CCFD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5,50</w:t>
            </w:r>
          </w:p>
        </w:tc>
      </w:tr>
      <w:tr w:rsidR="00C06454" w:rsidRPr="00C06454" w14:paraId="5A8DA6D4" w14:textId="77777777" w:rsidTr="00480FEF">
        <w:trPr>
          <w:jc w:val="center"/>
        </w:trPr>
        <w:tc>
          <w:tcPr>
            <w:tcW w:w="752" w:type="dxa"/>
          </w:tcPr>
          <w:p w14:paraId="1A58E97D" w14:textId="77777777" w:rsidR="00C06454" w:rsidRPr="00C06454" w:rsidRDefault="00C06454" w:rsidP="00480FEF">
            <w:pPr>
              <w:pStyle w:val="Corpotesto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13/06</w:t>
            </w:r>
          </w:p>
        </w:tc>
        <w:tc>
          <w:tcPr>
            <w:tcW w:w="1597" w:type="dxa"/>
          </w:tcPr>
          <w:p w14:paraId="600213CF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17.000</w:t>
            </w:r>
          </w:p>
        </w:tc>
        <w:tc>
          <w:tcPr>
            <w:tcW w:w="1397" w:type="dxa"/>
          </w:tcPr>
          <w:p w14:paraId="4ABEDD44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14:paraId="173B5737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5,80</w:t>
            </w:r>
          </w:p>
        </w:tc>
      </w:tr>
      <w:tr w:rsidR="00C06454" w:rsidRPr="00C06454" w14:paraId="5EAEE876" w14:textId="77777777" w:rsidTr="00480FEF">
        <w:trPr>
          <w:jc w:val="center"/>
        </w:trPr>
        <w:tc>
          <w:tcPr>
            <w:tcW w:w="752" w:type="dxa"/>
          </w:tcPr>
          <w:p w14:paraId="074608A8" w14:textId="77777777" w:rsidR="00C06454" w:rsidRPr="00C06454" w:rsidRDefault="00C06454" w:rsidP="00480FEF">
            <w:pPr>
              <w:pStyle w:val="Corpotesto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21/07</w:t>
            </w:r>
          </w:p>
        </w:tc>
        <w:tc>
          <w:tcPr>
            <w:tcW w:w="1597" w:type="dxa"/>
          </w:tcPr>
          <w:p w14:paraId="24C6CF41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42.000</w:t>
            </w:r>
          </w:p>
        </w:tc>
        <w:tc>
          <w:tcPr>
            <w:tcW w:w="1397" w:type="dxa"/>
          </w:tcPr>
          <w:p w14:paraId="7A09A941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14:paraId="5FAF2F1A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6,10</w:t>
            </w:r>
          </w:p>
        </w:tc>
      </w:tr>
      <w:tr w:rsidR="00C06454" w:rsidRPr="00C06454" w14:paraId="02C404CA" w14:textId="77777777" w:rsidTr="00480FEF">
        <w:trPr>
          <w:jc w:val="center"/>
        </w:trPr>
        <w:tc>
          <w:tcPr>
            <w:tcW w:w="752" w:type="dxa"/>
          </w:tcPr>
          <w:p w14:paraId="7718E5E8" w14:textId="77777777" w:rsidR="00C06454" w:rsidRPr="00C06454" w:rsidRDefault="00C06454" w:rsidP="00480FEF">
            <w:pPr>
              <w:pStyle w:val="Corpotesto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24/09</w:t>
            </w:r>
          </w:p>
        </w:tc>
        <w:tc>
          <w:tcPr>
            <w:tcW w:w="1597" w:type="dxa"/>
          </w:tcPr>
          <w:p w14:paraId="1138FCD4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14:paraId="52481B1E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62.000</w:t>
            </w:r>
          </w:p>
        </w:tc>
        <w:tc>
          <w:tcPr>
            <w:tcW w:w="1481" w:type="dxa"/>
          </w:tcPr>
          <w:p w14:paraId="33454064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C06454" w:rsidRPr="00C06454" w14:paraId="0B2A68F5" w14:textId="77777777" w:rsidTr="00480FEF">
        <w:trPr>
          <w:jc w:val="center"/>
        </w:trPr>
        <w:tc>
          <w:tcPr>
            <w:tcW w:w="752" w:type="dxa"/>
          </w:tcPr>
          <w:p w14:paraId="34F85F4C" w14:textId="77777777" w:rsidR="00C06454" w:rsidRPr="00C06454" w:rsidRDefault="00C06454" w:rsidP="00480FEF">
            <w:pPr>
              <w:pStyle w:val="Corpotesto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17/10</w:t>
            </w:r>
          </w:p>
        </w:tc>
        <w:tc>
          <w:tcPr>
            <w:tcW w:w="1597" w:type="dxa"/>
          </w:tcPr>
          <w:p w14:paraId="376CBD01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27.000</w:t>
            </w:r>
          </w:p>
        </w:tc>
        <w:tc>
          <w:tcPr>
            <w:tcW w:w="1397" w:type="dxa"/>
          </w:tcPr>
          <w:p w14:paraId="619BAA66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481" w:type="dxa"/>
          </w:tcPr>
          <w:p w14:paraId="2BE4FF7F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6,50</w:t>
            </w:r>
          </w:p>
        </w:tc>
      </w:tr>
      <w:tr w:rsidR="00C06454" w:rsidRPr="00C06454" w14:paraId="72303333" w14:textId="77777777" w:rsidTr="00480FEF">
        <w:trPr>
          <w:jc w:val="center"/>
        </w:trPr>
        <w:tc>
          <w:tcPr>
            <w:tcW w:w="752" w:type="dxa"/>
          </w:tcPr>
          <w:p w14:paraId="75092CDB" w14:textId="77777777" w:rsidR="00C06454" w:rsidRPr="00C06454" w:rsidRDefault="00C06454" w:rsidP="00480FEF">
            <w:pPr>
              <w:pStyle w:val="Corpotesto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 xml:space="preserve">  5/12</w:t>
            </w:r>
          </w:p>
        </w:tc>
        <w:tc>
          <w:tcPr>
            <w:tcW w:w="1597" w:type="dxa"/>
          </w:tcPr>
          <w:p w14:paraId="7C0AD40D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14:paraId="4675F8B9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C06454">
              <w:rPr>
                <w:rFonts w:cstheme="minorHAnsi"/>
                <w:bCs/>
                <w:sz w:val="24"/>
                <w:szCs w:val="24"/>
              </w:rPr>
              <w:t>22.000</w:t>
            </w:r>
          </w:p>
        </w:tc>
        <w:tc>
          <w:tcPr>
            <w:tcW w:w="1481" w:type="dxa"/>
          </w:tcPr>
          <w:p w14:paraId="36D3B0BE" w14:textId="77777777" w:rsidR="00C06454" w:rsidRPr="00C06454" w:rsidRDefault="00C06454" w:rsidP="00480FEF">
            <w:pPr>
              <w:pStyle w:val="Corpotesto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3E2924FD" w14:textId="77777777" w:rsidR="00C06454" w:rsidRPr="00C06454" w:rsidRDefault="00C06454" w:rsidP="00C06454">
      <w:pPr>
        <w:jc w:val="both"/>
        <w:rPr>
          <w:rFonts w:cstheme="minorHAnsi"/>
          <w:bCs/>
          <w:sz w:val="24"/>
          <w:szCs w:val="24"/>
        </w:rPr>
      </w:pPr>
    </w:p>
    <w:p w14:paraId="0C37976A" w14:textId="23E2F580" w:rsidR="00C06454" w:rsidRPr="00C06454" w:rsidRDefault="00C06454" w:rsidP="00C06454">
      <w:pPr>
        <w:ind w:left="360"/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>Sulla base delle precedenti informazioni si proceda, esplicitando i calcoli effettuati, a valutare le giacenze al 31/12/20x2 con le seguenti configurazioni di costo:</w:t>
      </w:r>
    </w:p>
    <w:p w14:paraId="4BB865E5" w14:textId="77777777" w:rsidR="00C06454" w:rsidRPr="00C06454" w:rsidRDefault="00C06454" w:rsidP="00C0645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>LIFO continuo per movimento.</w:t>
      </w:r>
    </w:p>
    <w:p w14:paraId="7C29D85B" w14:textId="77777777" w:rsidR="00C06454" w:rsidRPr="00C06454" w:rsidRDefault="00C06454" w:rsidP="00C0645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>FIFO</w:t>
      </w:r>
    </w:p>
    <w:p w14:paraId="70A1F296" w14:textId="322F37F6" w:rsidR="00C06454" w:rsidRDefault="00C06454" w:rsidP="00C0645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>Costo medio ponderato di periodo</w:t>
      </w:r>
    </w:p>
    <w:p w14:paraId="58829C40" w14:textId="77777777" w:rsidR="00C06454" w:rsidRPr="00C06454" w:rsidRDefault="00C06454" w:rsidP="00C0645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bCs/>
          <w:sz w:val="24"/>
          <w:szCs w:val="24"/>
        </w:rPr>
      </w:pPr>
    </w:p>
    <w:p w14:paraId="6087E428" w14:textId="482C0BC2" w:rsidR="00C06454" w:rsidRPr="00C06454" w:rsidRDefault="00C06454" w:rsidP="00C06454">
      <w:pPr>
        <w:ind w:left="360"/>
        <w:jc w:val="both"/>
        <w:rPr>
          <w:rFonts w:cstheme="minorHAnsi"/>
          <w:bCs/>
          <w:sz w:val="24"/>
          <w:szCs w:val="24"/>
        </w:rPr>
      </w:pPr>
      <w:r w:rsidRPr="00C06454">
        <w:rPr>
          <w:rFonts w:cstheme="minorHAnsi"/>
          <w:bCs/>
          <w:sz w:val="24"/>
          <w:szCs w:val="24"/>
        </w:rPr>
        <w:t>Tenuto inoltre conto che il prezzo di vendita del prodotto in oggetto è pari ad Euro 8,00 e che la società riconosce provvigioni di vendita del 20%, si indichino quali tra le suddette metodologie di calcolo dei costi esprimono un valore che, nel caso specifico e in base al dettato del codice civile, potrà essere iscritto nello stato patrimoniale per le rimanenze di merci"</w:t>
      </w:r>
    </w:p>
    <w:p w14:paraId="5848CC4A" w14:textId="77777777" w:rsidR="00C06454" w:rsidRPr="00C06454" w:rsidRDefault="00C06454" w:rsidP="00C06454">
      <w:pPr>
        <w:rPr>
          <w:rFonts w:eastAsiaTheme="minorEastAsia" w:cstheme="minorHAnsi"/>
          <w:b/>
          <w:bCs/>
          <w:sz w:val="24"/>
          <w:szCs w:val="24"/>
          <w:lang w:val="x-none"/>
        </w:rPr>
      </w:pPr>
    </w:p>
    <w:p w14:paraId="0B83B588" w14:textId="77777777" w:rsidR="00C06454" w:rsidRDefault="00C06454" w:rsidP="00C06454">
      <w:pPr>
        <w:spacing w:after="0"/>
        <w:rPr>
          <w:rFonts w:eastAsiaTheme="minorEastAsia" w:cstheme="minorHAnsi"/>
          <w:b/>
          <w:bCs/>
          <w:sz w:val="24"/>
          <w:szCs w:val="24"/>
          <w:lang w:val="x-none"/>
        </w:rPr>
        <w:sectPr w:rsidR="00C06454" w:rsidSect="00C0645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eastAsiaTheme="minorEastAsia" w:cstheme="minorHAnsi"/>
          <w:b/>
          <w:bCs/>
          <w:sz w:val="24"/>
          <w:szCs w:val="24"/>
          <w:lang w:val="x-none"/>
        </w:rPr>
        <w:br w:type="page"/>
      </w:r>
    </w:p>
    <w:p w14:paraId="273D0CFD" w14:textId="333C75D4" w:rsidR="00C06454" w:rsidRPr="00C06454" w:rsidRDefault="00C06454" w:rsidP="00C06454">
      <w:pPr>
        <w:spacing w:after="0"/>
        <w:rPr>
          <w:rFonts w:eastAsiaTheme="minorEastAsia" w:cstheme="minorHAnsi"/>
          <w:sz w:val="24"/>
          <w:szCs w:val="24"/>
        </w:rPr>
      </w:pPr>
      <w:r w:rsidRPr="00C06454">
        <w:rPr>
          <w:rFonts w:eastAsiaTheme="minorEastAsia" w:cstheme="minorHAnsi"/>
          <w:b/>
          <w:bCs/>
          <w:sz w:val="24"/>
          <w:szCs w:val="24"/>
        </w:rPr>
        <w:lastRenderedPageBreak/>
        <w:t xml:space="preserve">ESERCIZIO </w:t>
      </w:r>
      <w:r>
        <w:rPr>
          <w:rFonts w:eastAsiaTheme="minorEastAsia" w:cstheme="minorHAnsi"/>
          <w:b/>
          <w:bCs/>
          <w:sz w:val="24"/>
          <w:szCs w:val="24"/>
        </w:rPr>
        <w:t>7</w:t>
      </w:r>
    </w:p>
    <w:p w14:paraId="6C281F86" w14:textId="77777777" w:rsidR="00C06454" w:rsidRPr="00C06454" w:rsidRDefault="00C06454" w:rsidP="00C06454">
      <w:pPr>
        <w:rPr>
          <w:rFonts w:eastAsiaTheme="minorEastAsia" w:cstheme="minorHAnsi"/>
          <w:sz w:val="24"/>
          <w:szCs w:val="24"/>
        </w:rPr>
      </w:pPr>
      <w:r w:rsidRPr="00C06454">
        <w:rPr>
          <w:rFonts w:eastAsiaTheme="minorEastAsia" w:cstheme="minorHAnsi"/>
          <w:sz w:val="24"/>
          <w:szCs w:val="24"/>
        </w:rPr>
        <w:t xml:space="preserve">Si proceda alla classificazione delle seguenti voci (patrimoniali e reddituali) nei seguenti raggruppamenti del bilancio civilistico. A tal fine si ponga una X nella casella ritenuta corretta. </w:t>
      </w:r>
    </w:p>
    <w:p w14:paraId="5A4E3ACF" w14:textId="77777777" w:rsidR="00C06454" w:rsidRPr="00C06454" w:rsidRDefault="00C06454" w:rsidP="00C06454">
      <w:pPr>
        <w:rPr>
          <w:rFonts w:eastAsiaTheme="minorEastAsia" w:cstheme="minorHAnsi"/>
          <w:b/>
          <w:bCs/>
          <w:sz w:val="24"/>
          <w:szCs w:val="24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2"/>
        <w:gridCol w:w="1739"/>
        <w:gridCol w:w="1262"/>
        <w:gridCol w:w="1262"/>
        <w:gridCol w:w="1133"/>
        <w:gridCol w:w="926"/>
        <w:gridCol w:w="1275"/>
        <w:gridCol w:w="1261"/>
        <w:gridCol w:w="1355"/>
        <w:gridCol w:w="1775"/>
      </w:tblGrid>
      <w:tr w:rsidR="00C06454" w:rsidRPr="00C06454" w14:paraId="69AF98C5" w14:textId="77777777" w:rsidTr="00C06454">
        <w:trPr>
          <w:cantSplit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FD08" w14:textId="77777777" w:rsidR="00C06454" w:rsidRPr="00C06454" w:rsidRDefault="00C06454">
            <w:pPr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C99C" w14:textId="77777777" w:rsidR="00C06454" w:rsidRPr="00C06454" w:rsidRDefault="00C06454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b/>
                <w:bCs/>
                <w:sz w:val="24"/>
                <w:szCs w:val="24"/>
              </w:rPr>
              <w:t>Stato Patrimoniale</w:t>
            </w:r>
          </w:p>
          <w:p w14:paraId="44405E3B" w14:textId="77777777" w:rsidR="00C06454" w:rsidRPr="00C06454" w:rsidRDefault="00C06454">
            <w:pPr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E14F" w14:textId="77777777" w:rsidR="00C06454" w:rsidRPr="00C06454" w:rsidRDefault="00C06454">
            <w:pPr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b/>
                <w:bCs/>
                <w:sz w:val="24"/>
                <w:szCs w:val="24"/>
              </w:rPr>
              <w:t>Conto economico</w:t>
            </w:r>
          </w:p>
        </w:tc>
      </w:tr>
      <w:tr w:rsidR="00C06454" w:rsidRPr="00C06454" w14:paraId="7F03291F" w14:textId="77777777" w:rsidTr="00C06454">
        <w:trPr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84AE30" w14:textId="77777777" w:rsidR="00C06454" w:rsidRP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Voci di bilancio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1B1B23" w14:textId="77777777" w:rsidR="00C06454" w:rsidRPr="00C06454" w:rsidRDefault="00C0645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Immobilizzazioni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ECF44B" w14:textId="77777777" w:rsidR="00C06454" w:rsidRPr="00C06454" w:rsidRDefault="00C0645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Attivo</w:t>
            </w:r>
          </w:p>
          <w:p w14:paraId="5464AE45" w14:textId="77777777" w:rsidR="00C06454" w:rsidRPr="00C06454" w:rsidRDefault="00C0645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circolante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7E82C8" w14:textId="77777777" w:rsidR="00C06454" w:rsidRPr="00C06454" w:rsidRDefault="00C0645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Patrimonio</w:t>
            </w:r>
          </w:p>
          <w:p w14:paraId="516BF3D8" w14:textId="77777777" w:rsidR="00C06454" w:rsidRPr="00C06454" w:rsidRDefault="00C0645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76805C" w14:textId="77777777" w:rsidR="00C06454" w:rsidRPr="00C06454" w:rsidRDefault="00C0645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Fondi per rischi e oneri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270990" w14:textId="77777777" w:rsidR="00C06454" w:rsidRPr="00C06454" w:rsidRDefault="00C0645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Debiti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A69F5F" w14:textId="77777777" w:rsidR="00C06454" w:rsidRPr="00C06454" w:rsidRDefault="00C0645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Valore della produzione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3CD2FB" w14:textId="77777777" w:rsidR="00C06454" w:rsidRPr="00C06454" w:rsidRDefault="00C0645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Costi della produzione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76CE5C" w14:textId="77777777" w:rsidR="00C06454" w:rsidRPr="00C06454" w:rsidRDefault="00C0645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Proventi e oneri finanziari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D77DD4" w14:textId="77777777" w:rsidR="00C06454" w:rsidRPr="00C06454" w:rsidRDefault="00C06454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Rettifiche di valore di attività finanziarie</w:t>
            </w:r>
          </w:p>
        </w:tc>
      </w:tr>
      <w:tr w:rsidR="00C06454" w:rsidRPr="00C06454" w14:paraId="779FB559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74E3" w14:textId="77777777" w:rsidR="00C06454" w:rsidRP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 w:rsidRPr="00C06454">
              <w:rPr>
                <w:rFonts w:eastAsiaTheme="minorEastAsia" w:cstheme="minorHAnsi"/>
                <w:sz w:val="24"/>
                <w:szCs w:val="24"/>
              </w:rPr>
              <w:t>Riserva legale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EE39" w14:textId="77777777" w:rsidR="00C06454" w:rsidRP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EAC" w14:textId="77777777" w:rsidR="00C06454" w:rsidRP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176A" w14:textId="77777777" w:rsidR="00C06454" w:rsidRP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0C8" w14:textId="77777777" w:rsidR="00C06454" w:rsidRP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B7C" w14:textId="77777777" w:rsidR="00C06454" w:rsidRP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44B" w14:textId="77777777" w:rsidR="00C06454" w:rsidRP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878" w14:textId="77777777" w:rsidR="00C06454" w:rsidRP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686A" w14:textId="77777777" w:rsidR="00C06454" w:rsidRP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5A9" w14:textId="77777777" w:rsidR="00C06454" w:rsidRP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6132F573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192F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Acquisto di servizi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1AC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5E9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07A0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76D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F24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2AAB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2E4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678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192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5977B3A8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2B71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Debiti verso dipendenti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91F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288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350F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86B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50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1C66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365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854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C1C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2B48DDAF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1A3B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Rivalutazione partecipazione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4058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3E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6A69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AA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004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6C96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5E1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C34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D35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12FC2B2D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5DD7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Capitale sociale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DB8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3A06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CD85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33F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525B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188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4DA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6140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919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33805277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09A1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Cassa e conto corrente attivo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CBC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42F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412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04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4F7F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76DB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07B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F1E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82F9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27B1F432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680F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Partecipazioni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F691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00D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8AEC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BA1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EEE8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1804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3436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BE88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2C0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37DA3ECC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F0D6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Affitti passivi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374F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507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147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26C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5D27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5491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FB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699C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A92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5F280F01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F4F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Riserva straordinaria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DAC8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EF96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51E5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702C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161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55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C7E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4EC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A2F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7922E3B3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82B7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Interessi attivi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8CA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41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596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6D8A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5E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80B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6A9C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E0DA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E08B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5A1D2810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3480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lastRenderedPageBreak/>
              <w:t>Variazione prodotti finiti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F0B0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FC7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5D7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D0F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0E20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CE31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35A5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0EC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7974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7AE80B92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CE3F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Accantonamento al fondo svalutazione crediti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17F5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0061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2BB6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78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9E0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6A4C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E4B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54A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D0C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72C73F99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D24E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Brevetto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454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53C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30F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28E2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12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47B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D0F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1F1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852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7F8B8632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BA4E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Sopravvenienze attive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2791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A85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C497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A64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C2D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CCE0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9E5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52B1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25A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C06454" w14:paraId="26A58C2F" w14:textId="77777777" w:rsidTr="00C06454">
        <w:trPr>
          <w:trHeight w:val="284"/>
          <w:jc w:val="center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328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TFR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94B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9396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A3F3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A5E7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55E0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CBD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CAC0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E44C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E218" w14:textId="77777777" w:rsidR="00C06454" w:rsidRDefault="00C06454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37FFBC45" w14:textId="77777777" w:rsidR="00C06454" w:rsidRDefault="00C06454" w:rsidP="00C06454">
      <w:pPr>
        <w:rPr>
          <w:rFonts w:eastAsiaTheme="minorEastAsia" w:cstheme="minorHAnsi"/>
          <w:sz w:val="24"/>
          <w:szCs w:val="24"/>
        </w:rPr>
      </w:pPr>
    </w:p>
    <w:p w14:paraId="68E66AB2" w14:textId="77777777" w:rsidR="00C06454" w:rsidRDefault="00C06454" w:rsidP="00C06454">
      <w:pPr>
        <w:jc w:val="both"/>
        <w:rPr>
          <w:rFonts w:eastAsia="Calibri" w:cstheme="minorHAnsi"/>
          <w:b/>
          <w:sz w:val="24"/>
          <w:szCs w:val="24"/>
        </w:rPr>
      </w:pPr>
    </w:p>
    <w:p w14:paraId="6A982161" w14:textId="77777777" w:rsidR="00C06454" w:rsidRDefault="00C06454" w:rsidP="00C06454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9456399" w14:textId="77777777" w:rsidR="00C06454" w:rsidRDefault="00C06454" w:rsidP="00C06454">
      <w:pPr>
        <w:rPr>
          <w:rFonts w:cstheme="minorHAnsi"/>
          <w:sz w:val="24"/>
          <w:szCs w:val="24"/>
        </w:rPr>
      </w:pPr>
    </w:p>
    <w:p w14:paraId="50B8B338" w14:textId="77777777" w:rsidR="00386EF0" w:rsidRDefault="00386EF0"/>
    <w:sectPr w:rsidR="00386EF0" w:rsidSect="00C06454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862150t00">
    <w:altName w:val="TT E 186215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1F6"/>
    <w:multiLevelType w:val="hybridMultilevel"/>
    <w:tmpl w:val="8A80E0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E6C"/>
    <w:multiLevelType w:val="hybridMultilevel"/>
    <w:tmpl w:val="38244CCC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482704C"/>
    <w:multiLevelType w:val="hybridMultilevel"/>
    <w:tmpl w:val="CABC0A86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757F64"/>
    <w:multiLevelType w:val="singleLevel"/>
    <w:tmpl w:val="1B5C1E4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FD27CDB"/>
    <w:multiLevelType w:val="hybridMultilevel"/>
    <w:tmpl w:val="F17CA1F8"/>
    <w:lvl w:ilvl="0" w:tplc="6C708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3F0803"/>
    <w:multiLevelType w:val="hybridMultilevel"/>
    <w:tmpl w:val="3AAAE5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992022">
    <w:abstractNumId w:val="2"/>
  </w:num>
  <w:num w:numId="2" w16cid:durableId="124048254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1651264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50168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84731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5840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4D"/>
    <w:rsid w:val="000779E5"/>
    <w:rsid w:val="00191413"/>
    <w:rsid w:val="0020284D"/>
    <w:rsid w:val="00386EF0"/>
    <w:rsid w:val="00805F87"/>
    <w:rsid w:val="00B22B59"/>
    <w:rsid w:val="00C0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6B94"/>
  <w15:chartTrackingRefBased/>
  <w15:docId w15:val="{92436B64-5B18-443B-95A8-4E758247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20284D"/>
    <w:pPr>
      <w:spacing w:after="0" w:line="240" w:lineRule="auto"/>
    </w:pPr>
    <w:rPr>
      <w:rFonts w:ascii="Tahoma" w:eastAsia="Times New Roman" w:hAnsi="Tahoma" w:cs="Tahoma"/>
      <w:b/>
      <w:bCs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0284D"/>
    <w:rPr>
      <w:rFonts w:ascii="Tahoma" w:eastAsia="Times New Roman" w:hAnsi="Tahoma" w:cs="Tahoma"/>
      <w:b/>
      <w:bCs/>
      <w:sz w:val="20"/>
      <w:szCs w:val="24"/>
      <w:lang w:eastAsia="it-IT"/>
    </w:rPr>
  </w:style>
  <w:style w:type="paragraph" w:customStyle="1" w:styleId="Default">
    <w:name w:val="Default"/>
    <w:rsid w:val="00C06454"/>
    <w:pPr>
      <w:autoSpaceDE w:val="0"/>
      <w:autoSpaceDN w:val="0"/>
      <w:adjustRightInd w:val="0"/>
      <w:spacing w:after="0" w:line="240" w:lineRule="auto"/>
    </w:pPr>
    <w:rPr>
      <w:rFonts w:ascii="TTE1862150t00" w:eastAsia="Times New Roman" w:hAnsi="TTE1862150t00" w:cs="TTE1862150t00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064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0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</cp:revision>
  <dcterms:created xsi:type="dcterms:W3CDTF">2023-03-31T12:43:00Z</dcterms:created>
  <dcterms:modified xsi:type="dcterms:W3CDTF">2023-03-31T13:13:00Z</dcterms:modified>
</cp:coreProperties>
</file>