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8E6D" w14:textId="77777777" w:rsidR="00194CE9" w:rsidRDefault="00194CE9" w:rsidP="00963790">
      <w:pPr>
        <w:pStyle w:val="Corpodeltesto2"/>
        <w:rPr>
          <w:rFonts w:asciiTheme="minorHAnsi" w:hAnsiTheme="minorHAnsi" w:cstheme="minorHAnsi"/>
          <w:sz w:val="24"/>
        </w:rPr>
      </w:pPr>
    </w:p>
    <w:p w14:paraId="5B114F92" w14:textId="467B5344" w:rsidR="00194CE9" w:rsidRPr="00194CE9" w:rsidRDefault="00194CE9" w:rsidP="00194CE9">
      <w:pPr>
        <w:pStyle w:val="Corpodeltesto2"/>
        <w:jc w:val="center"/>
        <w:rPr>
          <w:rFonts w:asciiTheme="minorHAnsi" w:hAnsiTheme="minorHAnsi" w:cstheme="minorHAnsi"/>
          <w:sz w:val="32"/>
          <w:szCs w:val="32"/>
        </w:rPr>
      </w:pPr>
      <w:r w:rsidRPr="00194CE9">
        <w:rPr>
          <w:rFonts w:asciiTheme="minorHAnsi" w:hAnsiTheme="minorHAnsi" w:cstheme="minorHAnsi"/>
          <w:sz w:val="32"/>
          <w:szCs w:val="32"/>
        </w:rPr>
        <w:t>ESERCITAZIONE RIEPILOGATIVA</w:t>
      </w:r>
    </w:p>
    <w:p w14:paraId="335ACFE4" w14:textId="77777777" w:rsidR="00194CE9" w:rsidRDefault="00194CE9" w:rsidP="00963790">
      <w:pPr>
        <w:pStyle w:val="Corpodeltesto2"/>
        <w:rPr>
          <w:rFonts w:asciiTheme="minorHAnsi" w:hAnsiTheme="minorHAnsi" w:cstheme="minorHAnsi"/>
          <w:sz w:val="24"/>
        </w:rPr>
      </w:pPr>
    </w:p>
    <w:p w14:paraId="4123CD20" w14:textId="77777777" w:rsidR="00194CE9" w:rsidRDefault="00194CE9" w:rsidP="00963790">
      <w:pPr>
        <w:pStyle w:val="Corpodeltesto2"/>
        <w:rPr>
          <w:rFonts w:asciiTheme="minorHAnsi" w:hAnsiTheme="minorHAnsi" w:cstheme="minorHAnsi"/>
          <w:sz w:val="24"/>
        </w:rPr>
      </w:pPr>
    </w:p>
    <w:p w14:paraId="4E3BB73B" w14:textId="3DE624EF" w:rsidR="00963790" w:rsidRPr="00194CE9" w:rsidRDefault="00963790" w:rsidP="00963790">
      <w:pPr>
        <w:pStyle w:val="Corpodeltesto2"/>
        <w:rPr>
          <w:rFonts w:asciiTheme="minorHAnsi" w:hAnsiTheme="minorHAnsi" w:cstheme="minorHAnsi"/>
          <w:sz w:val="24"/>
        </w:rPr>
      </w:pPr>
      <w:r w:rsidRPr="00194CE9">
        <w:rPr>
          <w:rFonts w:asciiTheme="minorHAnsi" w:hAnsiTheme="minorHAnsi" w:cstheme="minorHAnsi"/>
          <w:sz w:val="24"/>
        </w:rPr>
        <w:t>ESERCIZIO 1</w:t>
      </w:r>
    </w:p>
    <w:p w14:paraId="63F1405A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Date le seguenti informazioni, si proceda al calcolo dell’IRES corrente, delle imposte differite </w:t>
      </w:r>
      <w:proofErr w:type="spellStart"/>
      <w:r w:rsidRPr="00194CE9">
        <w:rPr>
          <w:rFonts w:asciiTheme="minorHAnsi" w:hAnsiTheme="minorHAnsi" w:cstheme="minorHAnsi"/>
          <w:bCs/>
          <w:sz w:val="24"/>
          <w:szCs w:val="24"/>
        </w:rPr>
        <w:t>ed</w:t>
      </w:r>
      <w:proofErr w:type="spell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anticipate per l’esercizio 20x1 e 20x2 (aliquota fiscale IRES: 24%) e si proceda ad effettuare le rispettive rilevazioni contabili:</w:t>
      </w:r>
    </w:p>
    <w:p w14:paraId="393EA871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94CE9">
        <w:rPr>
          <w:rFonts w:asciiTheme="minorHAnsi" w:hAnsiTheme="minorHAnsi" w:cstheme="minorHAnsi"/>
          <w:bCs/>
          <w:sz w:val="24"/>
          <w:szCs w:val="24"/>
          <w:u w:val="single"/>
        </w:rPr>
        <w:t>Anno 20x1</w:t>
      </w:r>
    </w:p>
    <w:p w14:paraId="33D0D889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risultato ante imposte 25.000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>;</w:t>
      </w:r>
    </w:p>
    <w:p w14:paraId="6E0FBF4E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spese di manutenzione iscritte a bilancio per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40.000, deducibilità fiscale pari ad Euro 25.000;</w:t>
      </w:r>
    </w:p>
    <w:p w14:paraId="6D2B14BC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plusvalenze rateizzabili in 5 esercizi: 18.000 euro;</w:t>
      </w:r>
    </w:p>
    <w:p w14:paraId="28C764D0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dividendi incassati nel corso del 20x1: 3.000 euro;</w:t>
      </w:r>
    </w:p>
    <w:p w14:paraId="0473446D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spese telefoniche: 950 euro.</w:t>
      </w:r>
    </w:p>
    <w:p w14:paraId="5514BA4D" w14:textId="77777777" w:rsidR="00963790" w:rsidRPr="00194CE9" w:rsidRDefault="00963790" w:rsidP="00963790">
      <w:pPr>
        <w:pStyle w:val="Paragrafoelenco"/>
        <w:spacing w:after="0" w:line="240" w:lineRule="auto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73BF85D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194CE9">
        <w:rPr>
          <w:rFonts w:asciiTheme="minorHAnsi" w:hAnsiTheme="minorHAnsi" w:cstheme="minorHAnsi"/>
          <w:bCs/>
          <w:sz w:val="24"/>
          <w:szCs w:val="24"/>
          <w:u w:val="single"/>
        </w:rPr>
        <w:t>Anno 20x2</w:t>
      </w:r>
    </w:p>
    <w:p w14:paraId="72B3B9D6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risultato ante imposte 30.000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>;</w:t>
      </w:r>
    </w:p>
    <w:p w14:paraId="73ED2D77" w14:textId="77777777" w:rsidR="00963790" w:rsidRPr="00194CE9" w:rsidRDefault="00963790" w:rsidP="00963790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riversamenti delle riprese dell’anno precedente.</w:t>
      </w:r>
    </w:p>
    <w:p w14:paraId="6CF62FA1" w14:textId="77777777" w:rsidR="00963790" w:rsidRPr="00194CE9" w:rsidRDefault="00963790" w:rsidP="00963790">
      <w:pPr>
        <w:pStyle w:val="Corpodeltesto2"/>
        <w:rPr>
          <w:rFonts w:asciiTheme="minorHAnsi" w:hAnsiTheme="minorHAnsi" w:cstheme="minorHAnsi"/>
          <w:sz w:val="24"/>
        </w:rPr>
      </w:pPr>
    </w:p>
    <w:p w14:paraId="30211F98" w14:textId="77777777" w:rsidR="00963790" w:rsidRPr="00194CE9" w:rsidRDefault="00963790" w:rsidP="00963790">
      <w:pPr>
        <w:pStyle w:val="Corpodeltesto2"/>
        <w:rPr>
          <w:rFonts w:asciiTheme="minorHAnsi" w:hAnsiTheme="minorHAnsi" w:cstheme="minorHAnsi"/>
          <w:sz w:val="24"/>
        </w:rPr>
      </w:pPr>
      <w:r w:rsidRPr="00194CE9">
        <w:rPr>
          <w:rFonts w:asciiTheme="minorHAnsi" w:hAnsiTheme="minorHAnsi" w:cstheme="minorHAnsi"/>
          <w:sz w:val="24"/>
        </w:rPr>
        <w:t>ESERCIZIO 2</w:t>
      </w:r>
    </w:p>
    <w:p w14:paraId="01C5E124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La Società Fiore S.p.A. procede alla redazione del bilancio per l'esercizio 31/12/20x1, dal quale risultano crediti verso clienti per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600.000.</w:t>
      </w:r>
    </w:p>
    <w:p w14:paraId="1F5ACA2B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L'Amministratore della società Dott. </w:t>
      </w:r>
      <w:proofErr w:type="spellStart"/>
      <w:r w:rsidRPr="00194CE9">
        <w:rPr>
          <w:rFonts w:asciiTheme="minorHAnsi" w:hAnsiTheme="minorHAnsi" w:cstheme="minorHAnsi"/>
          <w:bCs/>
          <w:sz w:val="24"/>
          <w:szCs w:val="24"/>
        </w:rPr>
        <w:t>Gioppi</w:t>
      </w:r>
      <w:proofErr w:type="spell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procede all'analisi dei crediti in portafoglio e li scompone nelle seguenti categorie:</w:t>
      </w:r>
    </w:p>
    <w:p w14:paraId="790A8DEA" w14:textId="77777777" w:rsidR="00963790" w:rsidRPr="00194CE9" w:rsidRDefault="00963790" w:rsidP="0096379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crediti certi, per i quali stima una esigibilità pari al 100%;</w:t>
      </w:r>
    </w:p>
    <w:p w14:paraId="24F346FD" w14:textId="77777777" w:rsidR="00963790" w:rsidRPr="00194CE9" w:rsidRDefault="00963790" w:rsidP="0096379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crediti di dubbia esigibilità per contenzioso in essere con il cliente, per i quali stima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un esigibilità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pari all'80%</w:t>
      </w:r>
    </w:p>
    <w:p w14:paraId="23F730DA" w14:textId="77777777" w:rsidR="00963790" w:rsidRPr="00194CE9" w:rsidRDefault="00963790" w:rsidP="0096379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crediti di dubbia esigibilità e di scarsa solvibilità del cliente, per i quali stima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un esigibilità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pari al 50%;</w:t>
      </w:r>
    </w:p>
    <w:p w14:paraId="5D19E5F9" w14:textId="77777777" w:rsidR="00963790" w:rsidRPr="00194CE9" w:rsidRDefault="00963790" w:rsidP="0096379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crediti verso clienti assoggettati al concordato preventivo, per i quali si stima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un esigibilità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pari al 10%;</w:t>
      </w:r>
    </w:p>
    <w:p w14:paraId="459865F0" w14:textId="77777777" w:rsidR="00963790" w:rsidRPr="00194CE9" w:rsidRDefault="00963790" w:rsidP="00963790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crediti verso clienti dichiarati falliti, per i quali si stima un'esigibilità pari al 0%.</w:t>
      </w:r>
    </w:p>
    <w:p w14:paraId="028B71EC" w14:textId="77777777" w:rsidR="00963790" w:rsidRPr="00194CE9" w:rsidRDefault="00963790" w:rsidP="0096379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A9E1405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I risultati di tale scomposizione sono di seguito riportati:</w:t>
      </w:r>
    </w:p>
    <w:tbl>
      <w:tblPr>
        <w:tblpPr w:leftFromText="141" w:rightFromText="141" w:vertAnchor="text" w:horzAnchor="margin" w:tblpXSpec="center" w:tblpY="194"/>
        <w:tblW w:w="95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2238"/>
        <w:gridCol w:w="1544"/>
        <w:gridCol w:w="1826"/>
        <w:gridCol w:w="1269"/>
        <w:gridCol w:w="1128"/>
      </w:tblGrid>
      <w:tr w:rsidR="00963790" w:rsidRPr="00194CE9" w14:paraId="2789B093" w14:textId="77777777" w:rsidTr="00D56286">
        <w:trPr>
          <w:trHeight w:val="2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E0E1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9F926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Certi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7DF60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Contenzioso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14509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Scarsa Solvibilità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37F7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Concordato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0CCC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fallimento</w:t>
            </w:r>
          </w:p>
        </w:tc>
      </w:tr>
      <w:tr w:rsidR="00963790" w:rsidRPr="00194CE9" w14:paraId="749D5236" w14:textId="77777777" w:rsidTr="00D56286">
        <w:trPr>
          <w:trHeight w:val="170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AF4C" w14:textId="77777777" w:rsidR="00963790" w:rsidRPr="00194CE9" w:rsidRDefault="00963790" w:rsidP="00D5628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Importo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E3C8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529.000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3C15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20.000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D5F6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36.000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8FA3D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10.000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4AEA8" w14:textId="77777777" w:rsidR="00963790" w:rsidRPr="00194CE9" w:rsidRDefault="00963790" w:rsidP="00D5628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Cs/>
                <w:sz w:val="24"/>
                <w:szCs w:val="24"/>
              </w:rPr>
              <w:t>5.000</w:t>
            </w:r>
          </w:p>
        </w:tc>
      </w:tr>
    </w:tbl>
    <w:p w14:paraId="5267E7F6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Tenendo conto che il fondo svalutazione in essere al 31/12/20x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1  prima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dell’accantonamento ammonta ad Euro 28.000 si calcoli l'accantonamento al fondo svalutazione crediti al 31/12/20x1 </w:t>
      </w:r>
      <w:r w:rsidRPr="00194CE9">
        <w:rPr>
          <w:rFonts w:asciiTheme="minorHAnsi" w:hAnsiTheme="minorHAnsi" w:cstheme="minorHAnsi"/>
          <w:bCs/>
          <w:sz w:val="24"/>
          <w:szCs w:val="24"/>
        </w:rPr>
        <w:lastRenderedPageBreak/>
        <w:t>determinato secondo l'articolo 2426 del C.C. e di conseguenza il valore di presumibile realizzo dei crediti.</w:t>
      </w:r>
    </w:p>
    <w:p w14:paraId="773ABC6E" w14:textId="1AACF006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Si determini inoltre, l'accantonamento fiscalmente deducibile, tenendo conto che gli accantonamenti che hanno dato origine al Fondo in essere al 31/12/20x1 di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28.000 sono stati tutti fiscalmente dedotti negli esercizi precedenti.</w:t>
      </w:r>
    </w:p>
    <w:p w14:paraId="7780D770" w14:textId="24D5EBE9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F6BCBA" w14:textId="043638D0" w:rsidR="00963790" w:rsidRPr="00194CE9" w:rsidRDefault="00963790" w:rsidP="0096379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94CE9">
        <w:rPr>
          <w:rFonts w:asciiTheme="minorHAnsi" w:hAnsiTheme="minorHAnsi" w:cstheme="minorHAnsi"/>
          <w:b/>
          <w:sz w:val="24"/>
          <w:szCs w:val="24"/>
          <w:u w:val="single"/>
        </w:rPr>
        <w:t xml:space="preserve">ESERCIZIO </w:t>
      </w:r>
      <w:r w:rsidRPr="00194CE9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</w:p>
    <w:p w14:paraId="23B304D0" w14:textId="77777777" w:rsidR="00963790" w:rsidRPr="00194CE9" w:rsidRDefault="00963790" w:rsidP="00963790">
      <w:pPr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Si osservi la tabella sottoesposta relativa alla movimentazione delle giacenze di magazzino materie prime al 31/12/2018 della Elisir </w:t>
      </w:r>
      <w:proofErr w:type="spellStart"/>
      <w:r w:rsidRPr="00194CE9">
        <w:rPr>
          <w:rFonts w:asciiTheme="minorHAnsi" w:hAnsiTheme="minorHAnsi" w:cstheme="minorHAnsi"/>
          <w:sz w:val="24"/>
          <w:szCs w:val="24"/>
        </w:rPr>
        <w:t>SpA</w:t>
      </w:r>
      <w:proofErr w:type="spellEnd"/>
      <w:r w:rsidRPr="00194CE9">
        <w:rPr>
          <w:rFonts w:asciiTheme="minorHAnsi" w:hAnsiTheme="minorHAnsi" w:cstheme="minorHAnsi"/>
          <w:sz w:val="24"/>
          <w:szCs w:val="24"/>
        </w:rPr>
        <w:t xml:space="preserve"> (valori in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>).</w:t>
      </w:r>
    </w:p>
    <w:p w14:paraId="25CC5FDA" w14:textId="77777777" w:rsidR="00963790" w:rsidRPr="00194CE9" w:rsidRDefault="00963790" w:rsidP="00963790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2C860231" w14:textId="77777777" w:rsidR="00963790" w:rsidRPr="00194CE9" w:rsidRDefault="00963790" w:rsidP="00963790">
      <w:pPr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object w:dxaOrig="5111" w:dyaOrig="3775" w14:anchorId="3D93D0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6pt;height:188.4pt" o:ole="">
            <v:imagedata r:id="rId5" o:title=""/>
          </v:shape>
          <o:OLEObject Type="Embed" ProgID="Excel.Sheet.8" ShapeID="_x0000_i1025" DrawAspect="Content" ObjectID="_1682256932" r:id="rId6"/>
        </w:object>
      </w:r>
    </w:p>
    <w:p w14:paraId="2C0EDD08" w14:textId="77777777" w:rsidR="00963790" w:rsidRPr="00194CE9" w:rsidRDefault="00963790" w:rsidP="00963790">
      <w:pPr>
        <w:rPr>
          <w:rFonts w:asciiTheme="minorHAnsi" w:hAnsiTheme="minorHAnsi" w:cstheme="minorHAnsi"/>
          <w:sz w:val="24"/>
          <w:szCs w:val="24"/>
        </w:rPr>
      </w:pPr>
    </w:p>
    <w:p w14:paraId="51423D78" w14:textId="77777777" w:rsidR="00963790" w:rsidRPr="00194CE9" w:rsidRDefault="00963790" w:rsidP="0096379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>Al 31/12/2018 sono altresì presenti in magazzino 3200 unità di prodotti finiti, ciascuno dei quali incorpora 1 unità di materia prima.</w:t>
      </w:r>
    </w:p>
    <w:p w14:paraId="753CFBF5" w14:textId="77777777" w:rsidR="00963790" w:rsidRPr="00194CE9" w:rsidRDefault="00963790" w:rsidP="0096379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La produzione dei prodotti finiti comporta il sostenimento di costi unitari per manodopera, forza motrice e lavorazioni industriali di terzi per 2,7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 xml:space="preserve"> al pezzo</w:t>
      </w:r>
    </w:p>
    <w:p w14:paraId="3F9ADE44" w14:textId="77777777" w:rsidR="00963790" w:rsidRPr="00194CE9" w:rsidRDefault="00963790" w:rsidP="0096379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I costi generali di produzione sostenuti nell’anno ammontano a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 xml:space="preserve"> 85.600 mentre gli altri costi generali erano stati pari a Euro 52.000;</w:t>
      </w:r>
    </w:p>
    <w:p w14:paraId="334D9EB6" w14:textId="77777777" w:rsidR="00963790" w:rsidRPr="00194CE9" w:rsidRDefault="00963790" w:rsidP="0096379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Il volume di capacità produttiva ritenuto utilizzabile in condizioni medio-normali è di 35.000 pezzi ma a causa di numerose modifiche apportate al layout produttivo dello stabilimento, il volume di produzione effettivo si è attestato sui 32.850 pezzi. </w:t>
      </w:r>
    </w:p>
    <w:p w14:paraId="43CE74F3" w14:textId="77777777" w:rsidR="00963790" w:rsidRPr="00194CE9" w:rsidRDefault="00963790" w:rsidP="0096379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In base al listino di vendita in vigore alla fine dell’esercizio, il prezzo del prodotto finito è fissato in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 xml:space="preserve"> 12 al pezzo; in fase di vendita dei prodotti finiti vengono riconosciute provvigioni agli agenti del 20%.</w:t>
      </w:r>
    </w:p>
    <w:p w14:paraId="62695708" w14:textId="77777777" w:rsidR="00963790" w:rsidRPr="00194CE9" w:rsidRDefault="00963790" w:rsidP="00963790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Il valore di mercato delle materie prime al 31/12/2018 è di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 xml:space="preserve"> 3,5 al pezzo.</w:t>
      </w:r>
    </w:p>
    <w:p w14:paraId="7E3CB60E" w14:textId="77777777" w:rsidR="00963790" w:rsidRPr="00194CE9" w:rsidRDefault="00963790" w:rsidP="0096379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21235B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4CE9">
        <w:rPr>
          <w:rFonts w:asciiTheme="minorHAnsi" w:hAnsiTheme="minorHAnsi" w:cstheme="minorHAnsi"/>
          <w:b/>
          <w:sz w:val="24"/>
          <w:szCs w:val="24"/>
        </w:rPr>
        <w:t>Domande</w:t>
      </w:r>
    </w:p>
    <w:p w14:paraId="64564607" w14:textId="77777777" w:rsidR="00963790" w:rsidRPr="00194CE9" w:rsidRDefault="00963790" w:rsidP="00963790">
      <w:pPr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lastRenderedPageBreak/>
        <w:t xml:space="preserve">Sapendo che la configurazione di costo utilizzata è quella </w:t>
      </w:r>
      <w:r w:rsidRPr="00194CE9">
        <w:rPr>
          <w:rFonts w:asciiTheme="minorHAnsi" w:hAnsiTheme="minorHAnsi" w:cstheme="minorHAnsi"/>
          <w:b/>
          <w:sz w:val="24"/>
          <w:szCs w:val="24"/>
          <w:u w:val="single"/>
        </w:rPr>
        <w:t>a FIFO:</w:t>
      </w:r>
    </w:p>
    <w:p w14:paraId="5CC97101" w14:textId="77777777" w:rsidR="00963790" w:rsidRPr="00194CE9" w:rsidRDefault="00963790" w:rsidP="0096379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Si calcoli il valore da iscrivere in bilancio per le materie prime </w:t>
      </w:r>
    </w:p>
    <w:p w14:paraId="3DC805D0" w14:textId="0793008E" w:rsidR="00963790" w:rsidRPr="00194CE9" w:rsidRDefault="00963790" w:rsidP="00963790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>Si valuti il valore da iscrivere in bilancio per i prodotti finiti</w:t>
      </w:r>
    </w:p>
    <w:p w14:paraId="2D88ED20" w14:textId="78FDBE89" w:rsidR="00963790" w:rsidRPr="00194CE9" w:rsidRDefault="00963790" w:rsidP="009637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A399B9" w14:textId="004D3636" w:rsidR="00963790" w:rsidRPr="00194CE9" w:rsidRDefault="00963790" w:rsidP="009637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33A88C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94CE9">
        <w:rPr>
          <w:rFonts w:asciiTheme="minorHAnsi" w:hAnsiTheme="minorHAnsi" w:cstheme="minorHAnsi"/>
          <w:b/>
          <w:sz w:val="24"/>
          <w:szCs w:val="24"/>
          <w:u w:val="single"/>
        </w:rPr>
        <w:t xml:space="preserve">ESERCIZIO 4 </w:t>
      </w:r>
    </w:p>
    <w:p w14:paraId="78D5BC67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La società Alfa </w:t>
      </w:r>
      <w:proofErr w:type="spellStart"/>
      <w:r w:rsidRPr="00194CE9">
        <w:rPr>
          <w:rFonts w:asciiTheme="minorHAnsi" w:hAnsiTheme="minorHAnsi" w:cstheme="minorHAnsi"/>
          <w:sz w:val="24"/>
          <w:szCs w:val="24"/>
        </w:rPr>
        <w:t>s.p.a.</w:t>
      </w:r>
      <w:proofErr w:type="spellEnd"/>
      <w:r w:rsidRPr="00194CE9">
        <w:rPr>
          <w:rFonts w:asciiTheme="minorHAnsi" w:hAnsiTheme="minorHAnsi" w:cstheme="minorHAnsi"/>
          <w:sz w:val="24"/>
          <w:szCs w:val="24"/>
        </w:rPr>
        <w:t xml:space="preserve"> svolge l’attività di costruzione di fabbricati industriali su ordinazione dei propri clienti. Nel corso dell’esercizio 20x1, la Alfa </w:t>
      </w:r>
      <w:proofErr w:type="spellStart"/>
      <w:r w:rsidRPr="00194CE9">
        <w:rPr>
          <w:rFonts w:asciiTheme="minorHAnsi" w:hAnsiTheme="minorHAnsi" w:cstheme="minorHAnsi"/>
          <w:sz w:val="24"/>
          <w:szCs w:val="24"/>
        </w:rPr>
        <w:t>s.p.a.</w:t>
      </w:r>
      <w:proofErr w:type="spellEnd"/>
      <w:r w:rsidRPr="00194CE9">
        <w:rPr>
          <w:rFonts w:asciiTheme="minorHAnsi" w:hAnsiTheme="minorHAnsi" w:cstheme="minorHAnsi"/>
          <w:sz w:val="24"/>
          <w:szCs w:val="24"/>
        </w:rPr>
        <w:t xml:space="preserve"> riceve l’ordine per la realizzazione di un capannone industriale e concorda con il cliente un corrispettivo complessivo per la propria attività pari ad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 xml:space="preserve"> € 250.000</w:t>
      </w:r>
    </w:p>
    <w:p w14:paraId="3AA9A870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La durata della commessa è di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3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 xml:space="preserve"> anni. </w:t>
      </w:r>
    </w:p>
    <w:p w14:paraId="19AFB59E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>Dal preventivo dei costi risulta quanto segue:</w:t>
      </w:r>
    </w:p>
    <w:p w14:paraId="04D73B94" w14:textId="77777777" w:rsidR="00963790" w:rsidRPr="00194CE9" w:rsidRDefault="00963790" w:rsidP="00963790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27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274"/>
        <w:gridCol w:w="2098"/>
      </w:tblGrid>
      <w:tr w:rsidR="00963790" w:rsidRPr="00194CE9" w14:paraId="57B75A86" w14:textId="77777777" w:rsidTr="00D56286">
        <w:trPr>
          <w:trHeight w:val="27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553B0" w14:textId="77777777" w:rsidR="00963790" w:rsidRPr="00194CE9" w:rsidRDefault="00963790" w:rsidP="00D5628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8663F" w14:textId="77777777" w:rsidR="00963790" w:rsidRPr="00194CE9" w:rsidRDefault="00963790" w:rsidP="00D5628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 xml:space="preserve">Costi di Produzione </w:t>
            </w:r>
          </w:p>
        </w:tc>
      </w:tr>
      <w:tr w:rsidR="00963790" w:rsidRPr="00194CE9" w14:paraId="7288CC19" w14:textId="77777777" w:rsidTr="00D56286">
        <w:trPr>
          <w:trHeight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8A624" w14:textId="77777777" w:rsidR="00963790" w:rsidRPr="00194CE9" w:rsidRDefault="00963790" w:rsidP="00D5628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 xml:space="preserve">al 31.12.x1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A764A" w14:textId="77777777" w:rsidR="00963790" w:rsidRPr="00194CE9" w:rsidRDefault="00963790" w:rsidP="00D56286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 xml:space="preserve"> € 40.000</w:t>
            </w:r>
          </w:p>
        </w:tc>
      </w:tr>
      <w:tr w:rsidR="00963790" w:rsidRPr="00194CE9" w14:paraId="0F68B5FE" w14:textId="77777777" w:rsidTr="00D56286">
        <w:trPr>
          <w:trHeight w:val="263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AC569" w14:textId="77777777" w:rsidR="00963790" w:rsidRPr="00194CE9" w:rsidRDefault="00963790" w:rsidP="00D5628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>al 31.12.x2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3F708" w14:textId="77777777" w:rsidR="00963790" w:rsidRPr="00194CE9" w:rsidRDefault="00963790" w:rsidP="00D56286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>€ 60.000</w:t>
            </w:r>
          </w:p>
        </w:tc>
      </w:tr>
      <w:tr w:rsidR="00963790" w:rsidRPr="00194CE9" w14:paraId="080D1A47" w14:textId="77777777" w:rsidTr="00D56286">
        <w:trPr>
          <w:trHeight w:val="265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A7AB6" w14:textId="77777777" w:rsidR="00963790" w:rsidRPr="00194CE9" w:rsidRDefault="00963790" w:rsidP="00D5628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>al 31.12.x3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25CC0" w14:textId="77777777" w:rsidR="00963790" w:rsidRPr="00194CE9" w:rsidRDefault="00963790" w:rsidP="00D56286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194CE9">
              <w:rPr>
                <w:rFonts w:asciiTheme="minorHAnsi" w:hAnsiTheme="minorHAnsi" w:cstheme="minorHAnsi"/>
              </w:rPr>
              <w:t>€ 67.500</w:t>
            </w:r>
          </w:p>
        </w:tc>
      </w:tr>
    </w:tbl>
    <w:p w14:paraId="79B5D840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03613DF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>Nel corso dell’esercizio 20x1, la produzione si svolge secondo i piani previsti e il preventivo di costo per quell’anno viene rispettato.</w:t>
      </w:r>
    </w:p>
    <w:p w14:paraId="45A53F55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Nel 20x2 Alfa </w:t>
      </w:r>
      <w:proofErr w:type="spellStart"/>
      <w:r w:rsidRPr="00194CE9">
        <w:rPr>
          <w:rFonts w:asciiTheme="minorHAnsi" w:hAnsiTheme="minorHAnsi" w:cstheme="minorHAnsi"/>
          <w:sz w:val="24"/>
          <w:szCs w:val="24"/>
        </w:rPr>
        <w:t>s.p.a.</w:t>
      </w:r>
      <w:proofErr w:type="spellEnd"/>
      <w:r w:rsidRPr="00194CE9">
        <w:rPr>
          <w:rFonts w:asciiTheme="minorHAnsi" w:hAnsiTheme="minorHAnsi" w:cstheme="minorHAnsi"/>
          <w:sz w:val="24"/>
          <w:szCs w:val="24"/>
        </w:rPr>
        <w:t xml:space="preserve"> procede alla rilevazione dei costi di commessa e a ristimare i costi per l’esercizio 20x3. Sulla base delle elaborazioni effettuate risulta che nel corso del 20x2 i costi di commessa siano stati 75.000 e che nel 20x3 i costi di completamento della commessa medesima saranno di 80.000 </w:t>
      </w:r>
      <w:proofErr w:type="gramStart"/>
      <w:r w:rsidRPr="00194CE9">
        <w:rPr>
          <w:rFonts w:asciiTheme="minorHAnsi" w:hAnsiTheme="minorHAnsi" w:cstheme="minorHAnsi"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sz w:val="24"/>
          <w:szCs w:val="24"/>
        </w:rPr>
        <w:t>, anziché come originariamente previsto di 67.500.</w:t>
      </w:r>
    </w:p>
    <w:p w14:paraId="6F7B7A3D" w14:textId="77777777" w:rsidR="00963790" w:rsidRPr="00194CE9" w:rsidRDefault="00963790" w:rsidP="0096379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1CAE356" w14:textId="1D583168" w:rsidR="00963790" w:rsidRDefault="00963790" w:rsidP="0019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 xml:space="preserve">Si proceda alla valutazione del lavoro in corso su ordinazione e si evidenzi il margine reddituale maturato al termine di ciascuno degli esercizi considerati (20x1 – 20x2 – 20x3) utilizzando il metodo della percentuale di completamento e sapendo che il metodo per la determinazione dello stato di avanzamento dei lavori è quello </w:t>
      </w:r>
      <w:r w:rsidRPr="00194CE9">
        <w:rPr>
          <w:rFonts w:asciiTheme="minorHAnsi" w:hAnsiTheme="minorHAnsi" w:cstheme="minorHAnsi"/>
          <w:i/>
          <w:sz w:val="24"/>
          <w:szCs w:val="24"/>
        </w:rPr>
        <w:t>cost to cost.</w:t>
      </w:r>
      <w:r w:rsidRPr="00194CE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B6C2EFB" w14:textId="77777777" w:rsidR="00194CE9" w:rsidRPr="00194CE9" w:rsidRDefault="00194CE9" w:rsidP="00194CE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F8032A9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94CE9">
        <w:rPr>
          <w:rFonts w:asciiTheme="minorHAnsi" w:hAnsiTheme="minorHAnsi" w:cstheme="minorHAnsi"/>
          <w:b/>
          <w:bCs/>
          <w:sz w:val="24"/>
          <w:szCs w:val="24"/>
          <w:u w:val="single"/>
        </w:rPr>
        <w:t>ESERCIZIO 5</w:t>
      </w:r>
    </w:p>
    <w:p w14:paraId="14243DC3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In data 01/01/20x2 la società Beta S.p.A. ha acquistato una partecipazione del 40% per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80.000 Euro nella Omega S.r.l. In tale data la situazione contabile di Omega S.r.l. era la seguente:</w:t>
      </w:r>
    </w:p>
    <w:p w14:paraId="4D621670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bookmarkStart w:id="0" w:name="_MON_1431279041"/>
    <w:bookmarkEnd w:id="0"/>
    <w:p w14:paraId="4703B428" w14:textId="77777777" w:rsidR="00963790" w:rsidRPr="00194CE9" w:rsidRDefault="00963790" w:rsidP="00963790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object w:dxaOrig="5365" w:dyaOrig="2531" w14:anchorId="0FEA07A3">
          <v:shape id="_x0000_i1027" type="#_x0000_t75" style="width:267.6pt;height:126.6pt" o:ole="">
            <v:imagedata r:id="rId7" o:title=""/>
          </v:shape>
          <o:OLEObject Type="Embed" ProgID="Excel.Sheet.8" ShapeID="_x0000_i1027" DrawAspect="Content" ObjectID="_1682256933" r:id="rId8"/>
        </w:object>
      </w:r>
    </w:p>
    <w:p w14:paraId="74234AD4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8FAA13A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207EB71" w14:textId="77777777" w:rsidR="00963790" w:rsidRPr="00194CE9" w:rsidRDefault="00963790" w:rsidP="00963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Si proceda alla </w:t>
      </w:r>
      <w:r w:rsidRPr="00194CE9">
        <w:rPr>
          <w:rFonts w:asciiTheme="minorHAnsi" w:hAnsiTheme="minorHAnsi" w:cstheme="minorHAnsi"/>
          <w:b/>
          <w:bCs/>
          <w:sz w:val="24"/>
          <w:szCs w:val="24"/>
          <w:u w:val="single"/>
        </w:rPr>
        <w:t>scomposizione del prezzo d’acquisto</w:t>
      </w:r>
      <w:r w:rsidRPr="00194CE9">
        <w:rPr>
          <w:rFonts w:asciiTheme="minorHAnsi" w:hAnsiTheme="minorHAnsi" w:cstheme="minorHAnsi"/>
          <w:bCs/>
          <w:sz w:val="24"/>
          <w:szCs w:val="24"/>
        </w:rPr>
        <w:t xml:space="preserve"> e alla </w:t>
      </w:r>
      <w:r w:rsidRPr="00194CE9">
        <w:rPr>
          <w:rFonts w:asciiTheme="minorHAnsi" w:hAnsiTheme="minorHAnsi" w:cstheme="minorHAnsi"/>
          <w:b/>
          <w:bCs/>
          <w:sz w:val="24"/>
          <w:szCs w:val="24"/>
          <w:u w:val="single"/>
        </w:rPr>
        <w:t>valutazione della partecipazione</w:t>
      </w:r>
      <w:r w:rsidRPr="00194CE9">
        <w:rPr>
          <w:rFonts w:asciiTheme="minorHAnsi" w:hAnsiTheme="minorHAnsi" w:cstheme="minorHAnsi"/>
          <w:bCs/>
          <w:sz w:val="24"/>
          <w:szCs w:val="24"/>
        </w:rPr>
        <w:t xml:space="preserve"> della partecipazione di Beta S.p.A. in Omega S.r.l al 31/12/20x2 tenendo presente che: </w:t>
      </w:r>
    </w:p>
    <w:p w14:paraId="54DFF876" w14:textId="77777777" w:rsidR="00963790" w:rsidRPr="00194CE9" w:rsidRDefault="00963790" w:rsidP="0096379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2F4B995D" w14:textId="77777777" w:rsidR="00963790" w:rsidRPr="00194CE9" w:rsidRDefault="00963790" w:rsidP="0096379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Gli importi delle voci dell’attivo sono al netto delle relative poste rettificative.</w:t>
      </w:r>
    </w:p>
    <w:p w14:paraId="02475E1B" w14:textId="77777777" w:rsidR="00963790" w:rsidRPr="00194CE9" w:rsidRDefault="00963790" w:rsidP="00963790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Il valore corrente degli immobili è di 250.000 e la vita utile residua è di 20 anni </w:t>
      </w:r>
    </w:p>
    <w:p w14:paraId="06F1D2B5" w14:textId="77777777" w:rsidR="00963790" w:rsidRPr="00194CE9" w:rsidRDefault="00963790" w:rsidP="00963790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Il valore corrente dei terreni è di 50.000.</w:t>
      </w:r>
    </w:p>
    <w:p w14:paraId="062D1345" w14:textId="77777777" w:rsidR="00963790" w:rsidRPr="00194CE9" w:rsidRDefault="00963790" w:rsidP="00963790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Il valore corrente degli impianti è di 130.000 e la vita utile residua è di 5 anni</w:t>
      </w:r>
    </w:p>
    <w:p w14:paraId="0A48FA4E" w14:textId="77777777" w:rsidR="00963790" w:rsidRPr="00194CE9" w:rsidRDefault="00963790" w:rsidP="00963790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L’eventuale avviamento è ammortizzato in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5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anni. </w:t>
      </w:r>
    </w:p>
    <w:p w14:paraId="2CB7280E" w14:textId="77777777" w:rsidR="00963790" w:rsidRPr="00194CE9" w:rsidRDefault="00963790" w:rsidP="0096379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8869FC" w14:textId="77777777" w:rsidR="00963790" w:rsidRPr="00194CE9" w:rsidRDefault="00963790" w:rsidP="00963790">
      <w:pPr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Gli effetti fiscali, nel caso in cui debbano essere considerati, vanno computati sulla base dell’aliquota forfettaria del 30%.</w:t>
      </w:r>
    </w:p>
    <w:p w14:paraId="5156A906" w14:textId="77777777" w:rsidR="00963790" w:rsidRPr="00194CE9" w:rsidRDefault="00963790" w:rsidP="00963790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9F1D6B" w14:textId="77777777" w:rsidR="00963790" w:rsidRPr="00194CE9" w:rsidRDefault="00963790" w:rsidP="00963790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>Nel corso del 20x2 si sono verificati, tra gli altri, i seguenti accadimenti:</w:t>
      </w:r>
    </w:p>
    <w:p w14:paraId="67383F93" w14:textId="77777777" w:rsidR="00963790" w:rsidRPr="00194CE9" w:rsidRDefault="00963790" w:rsidP="0096379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Omega ha distribuito dividendi per complessivi 24.000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>;</w:t>
      </w:r>
    </w:p>
    <w:p w14:paraId="73EBE2F6" w14:textId="77777777" w:rsidR="00963790" w:rsidRPr="00194CE9" w:rsidRDefault="00963790" w:rsidP="0096379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Omega ha realizzato un utile netto di </w:t>
      </w:r>
      <w:proofErr w:type="gramStart"/>
      <w:r w:rsidRPr="00194CE9">
        <w:rPr>
          <w:rFonts w:asciiTheme="minorHAnsi" w:hAnsiTheme="minorHAnsi" w:cstheme="minorHAnsi"/>
          <w:bCs/>
          <w:sz w:val="24"/>
          <w:szCs w:val="24"/>
        </w:rPr>
        <w:t>Euro</w:t>
      </w:r>
      <w:proofErr w:type="gramEnd"/>
      <w:r w:rsidRPr="00194CE9">
        <w:rPr>
          <w:rFonts w:asciiTheme="minorHAnsi" w:hAnsiTheme="minorHAnsi" w:cstheme="minorHAnsi"/>
          <w:bCs/>
          <w:sz w:val="24"/>
          <w:szCs w:val="24"/>
        </w:rPr>
        <w:t xml:space="preserve"> 45.000;</w:t>
      </w:r>
    </w:p>
    <w:p w14:paraId="3B6EDB2C" w14:textId="77777777" w:rsidR="00963790" w:rsidRPr="00194CE9" w:rsidRDefault="00963790" w:rsidP="0096379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La società Omega ha acquistato sul mercato 15.000 prodotti al prezzo unitario di € 60 rivendendone in seguito 11.000 alla società controllante al prezzo unitario di 80 prodotti. </w:t>
      </w:r>
    </w:p>
    <w:p w14:paraId="26DAFEBA" w14:textId="77777777" w:rsidR="00963790" w:rsidRPr="00194CE9" w:rsidRDefault="00963790" w:rsidP="00963790">
      <w:pPr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4CE9">
        <w:rPr>
          <w:rFonts w:asciiTheme="minorHAnsi" w:hAnsiTheme="minorHAnsi" w:cstheme="minorHAnsi"/>
          <w:bCs/>
          <w:sz w:val="24"/>
          <w:szCs w:val="24"/>
        </w:rPr>
        <w:t xml:space="preserve">La società Beta, nel corso dell’esercizio vende sul mercato, ad un prezzo unitario di 100, 10.000 unità, il rimanente è in giacenza di magazzino. </w:t>
      </w:r>
    </w:p>
    <w:p w14:paraId="3A6AF3F2" w14:textId="77777777" w:rsidR="00963790" w:rsidRPr="00194CE9" w:rsidRDefault="00963790" w:rsidP="00963790">
      <w:pPr>
        <w:ind w:left="10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8C7B3BD" w14:textId="41729DCD" w:rsidR="00CE6C40" w:rsidRPr="00194CE9" w:rsidRDefault="00CE6C40" w:rsidP="00CE6C4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94CE9">
        <w:rPr>
          <w:rFonts w:asciiTheme="minorHAnsi" w:hAnsiTheme="minorHAnsi" w:cstheme="minorHAnsi"/>
          <w:b/>
          <w:bCs/>
          <w:sz w:val="24"/>
          <w:szCs w:val="24"/>
        </w:rPr>
        <w:t xml:space="preserve">ESERCIZIO </w:t>
      </w:r>
      <w:r w:rsidR="00194CE9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0471A8C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>La società Caio Spa acquista in data 01/07/T1 un macchinario per la produzione di pennarelli, il costo di acquisto è pari a 600.000€, gli amministratori stimano una vita utile di 10 anni e che il valore residuo al termine della vita utile sia irrilevante.</w:t>
      </w:r>
    </w:p>
    <w:p w14:paraId="22D2523D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</w:rPr>
      </w:pPr>
    </w:p>
    <w:p w14:paraId="79A9BEC8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lastRenderedPageBreak/>
        <w:t xml:space="preserve">Al termine del T3 gli amministratori valutano, tenuto conto dell’andamento del mercato e dopo aver costruito il </w:t>
      </w:r>
      <w:r w:rsidRPr="00194CE9">
        <w:rPr>
          <w:rFonts w:asciiTheme="minorHAnsi" w:hAnsiTheme="minorHAnsi" w:cstheme="minorHAnsi"/>
          <w:i/>
          <w:sz w:val="24"/>
          <w:szCs w:val="24"/>
        </w:rPr>
        <w:t>business plan</w:t>
      </w:r>
      <w:r w:rsidRPr="00194CE9">
        <w:rPr>
          <w:rFonts w:asciiTheme="minorHAnsi" w:hAnsiTheme="minorHAnsi" w:cstheme="minorHAnsi"/>
          <w:sz w:val="24"/>
          <w:szCs w:val="24"/>
        </w:rPr>
        <w:t xml:space="preserve"> per i successivi 5 anni, se vi sono i presupposti per svalutare:</w:t>
      </w:r>
    </w:p>
    <w:p w14:paraId="0008E995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960"/>
        <w:gridCol w:w="960"/>
        <w:gridCol w:w="960"/>
        <w:gridCol w:w="960"/>
        <w:gridCol w:w="960"/>
        <w:gridCol w:w="960"/>
      </w:tblGrid>
      <w:tr w:rsidR="00CE6C40" w:rsidRPr="00194CE9" w14:paraId="552A7E57" w14:textId="77777777" w:rsidTr="00D56286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465" w14:textId="77777777" w:rsidR="00CE6C40" w:rsidRPr="00194CE9" w:rsidRDefault="00CE6C40" w:rsidP="00D56286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A89" w14:textId="77777777" w:rsidR="00CE6C40" w:rsidRPr="00194CE9" w:rsidRDefault="00CE6C40" w:rsidP="00D5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3FE" w14:textId="77777777" w:rsidR="00CE6C40" w:rsidRPr="00194CE9" w:rsidRDefault="00CE6C40" w:rsidP="00D5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FEB" w14:textId="77777777" w:rsidR="00CE6C40" w:rsidRPr="00194CE9" w:rsidRDefault="00CE6C40" w:rsidP="00D5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081" w14:textId="77777777" w:rsidR="00CE6C40" w:rsidRPr="00194CE9" w:rsidRDefault="00CE6C40" w:rsidP="00D5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F15" w14:textId="77777777" w:rsidR="00CE6C40" w:rsidRPr="00194CE9" w:rsidRDefault="00CE6C40" w:rsidP="00D5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27A3" w14:textId="77777777" w:rsidR="00CE6C40" w:rsidRPr="00194CE9" w:rsidRDefault="00CE6C40" w:rsidP="00D5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TOTALE</w:t>
            </w:r>
          </w:p>
        </w:tc>
      </w:tr>
      <w:tr w:rsidR="00CE6C40" w:rsidRPr="00194CE9" w14:paraId="45A5D647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F8C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RICAVI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45F0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720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6A5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B0B2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84D1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BD6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390.000</w:t>
            </w:r>
          </w:p>
        </w:tc>
      </w:tr>
      <w:tr w:rsidR="00CE6C40" w:rsidRPr="00194CE9" w14:paraId="07C6C0EC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2ADA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COSTI VARIABILI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A47E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-30.000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5190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-25.000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858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B94D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96F1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-13.000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877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-94.000</w:t>
            </w:r>
          </w:p>
        </w:tc>
      </w:tr>
      <w:tr w:rsidR="00CE6C40" w:rsidRPr="00194CE9" w14:paraId="0677B22B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E297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COSTI FISSI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849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50F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F06F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72D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8EC5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08F6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-50.000</w:t>
            </w:r>
          </w:p>
        </w:tc>
      </w:tr>
      <w:tr w:rsidR="00CE6C40" w:rsidRPr="00194CE9" w14:paraId="45DC7759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535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ONERI FINANZIARI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54D4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02EF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454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6466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8B81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-1.000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7D74" w14:textId="77777777" w:rsidR="00CE6C40" w:rsidRPr="00194CE9" w:rsidRDefault="00CE6C40" w:rsidP="00D56286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-5.000</w:t>
            </w:r>
          </w:p>
        </w:tc>
      </w:tr>
      <w:tr w:rsidR="00CE6C40" w:rsidRPr="00194CE9" w14:paraId="5ADF43CE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19E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CAPACITA' 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D89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104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A4E6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DB81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B66F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09C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E6C40" w:rsidRPr="00194CE9" w14:paraId="07783C13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C73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AMMORTAMENTO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FDC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6AB8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FFD8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C3A2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03D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5B74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CE6C40" w:rsidRPr="00194CE9" w14:paraId="26021297" w14:textId="77777777" w:rsidTr="00D56286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4A98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RISULTATO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6AB5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7226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182F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B0FF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C05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D4C" w14:textId="77777777" w:rsidR="00CE6C40" w:rsidRPr="00194CE9" w:rsidRDefault="00CE6C40" w:rsidP="00D5628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94C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388FE693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38D6654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29B5E95" w14:textId="77777777" w:rsidR="00CE6C40" w:rsidRPr="00194CE9" w:rsidRDefault="00CE6C40" w:rsidP="00CE6C40">
      <w:pPr>
        <w:rPr>
          <w:rFonts w:asciiTheme="minorHAnsi" w:hAnsiTheme="minorHAnsi" w:cstheme="minorHAnsi"/>
          <w:sz w:val="24"/>
          <w:szCs w:val="24"/>
        </w:rPr>
      </w:pPr>
      <w:r w:rsidRPr="00194CE9">
        <w:rPr>
          <w:rFonts w:asciiTheme="minorHAnsi" w:hAnsiTheme="minorHAnsi" w:cstheme="minorHAnsi"/>
          <w:sz w:val="24"/>
          <w:szCs w:val="24"/>
        </w:rPr>
        <w:t>Si proceda a calcolare l’eventuale importo della svalutazione, ad effettuare le opportune scritture contabili per l’anno T3 e a indicare il valore netto contabile al termine del T3 del macchinario.</w:t>
      </w:r>
    </w:p>
    <w:p w14:paraId="3079E7DA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21947D9A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0BFD7D70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28DA3E6A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28631DC1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2FA351A9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0BEEBE5E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52CAA3A3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3B0D144F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0A8D8E7C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59AC6F62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11633162" w14:textId="77777777" w:rsidR="00194CE9" w:rsidRDefault="00194CE9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</w:pPr>
    </w:p>
    <w:p w14:paraId="676239AA" w14:textId="26172794" w:rsidR="00194CE9" w:rsidRDefault="00194CE9" w:rsidP="00194CE9">
      <w:pPr>
        <w:tabs>
          <w:tab w:val="left" w:pos="1608"/>
        </w:tabs>
        <w:rPr>
          <w:rFonts w:asciiTheme="minorHAnsi" w:eastAsiaTheme="minorEastAsia" w:hAnsiTheme="minorHAnsi" w:cstheme="minorHAnsi"/>
          <w:b/>
          <w:bCs/>
          <w:sz w:val="24"/>
          <w:szCs w:val="24"/>
          <w:lang w:val="x-none"/>
        </w:rPr>
        <w:sectPr w:rsidR="00194CE9" w:rsidSect="00194CE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338FE37" w14:textId="4FC3053D" w:rsidR="00CE6C40" w:rsidRPr="00194CE9" w:rsidRDefault="00194CE9" w:rsidP="00194CE9">
      <w:pPr>
        <w:tabs>
          <w:tab w:val="left" w:pos="1608"/>
        </w:tabs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lastRenderedPageBreak/>
        <w:t>ESERCIZIO 7</w:t>
      </w:r>
      <w:r>
        <w:rPr>
          <w:rFonts w:asciiTheme="minorHAnsi" w:eastAsiaTheme="minorEastAsia" w:hAnsiTheme="minorHAnsi" w:cstheme="minorHAnsi"/>
          <w:b/>
          <w:bCs/>
          <w:sz w:val="24"/>
          <w:szCs w:val="24"/>
        </w:rPr>
        <w:tab/>
      </w:r>
    </w:p>
    <w:p w14:paraId="6C7D8694" w14:textId="77777777" w:rsidR="00CE6C40" w:rsidRPr="00194CE9" w:rsidRDefault="00CE6C40" w:rsidP="00CE6C40">
      <w:pPr>
        <w:rPr>
          <w:rFonts w:asciiTheme="minorHAnsi" w:eastAsiaTheme="minorEastAsia" w:hAnsiTheme="minorHAnsi" w:cstheme="minorHAnsi"/>
          <w:sz w:val="24"/>
          <w:szCs w:val="24"/>
        </w:rPr>
      </w:pPr>
      <w:r w:rsidRPr="00194CE9">
        <w:rPr>
          <w:rFonts w:asciiTheme="minorHAnsi" w:eastAsiaTheme="minorEastAsia" w:hAnsiTheme="minorHAnsi" w:cstheme="minorHAnsi"/>
          <w:sz w:val="24"/>
          <w:szCs w:val="24"/>
        </w:rPr>
        <w:t xml:space="preserve">Si proceda alla classificazione delle seguenti voci (patrimoniali e reddituali) nei seguenti raggruppamenti del bilancio civilistico. A tal fine si ponga una X nella casella ritenuta corretta. </w:t>
      </w:r>
    </w:p>
    <w:p w14:paraId="26A0CCAF" w14:textId="77777777" w:rsidR="00CE6C40" w:rsidRPr="00194CE9" w:rsidRDefault="00CE6C40" w:rsidP="00CE6C40">
      <w:pPr>
        <w:rPr>
          <w:rFonts w:asciiTheme="minorHAnsi" w:eastAsiaTheme="minorEastAsia" w:hAnsiTheme="minorHAnsi" w:cstheme="minorHAnsi"/>
          <w:b/>
          <w:bCs/>
          <w:sz w:val="24"/>
          <w:szCs w:val="24"/>
        </w:rPr>
      </w:pPr>
    </w:p>
    <w:tbl>
      <w:tblPr>
        <w:tblW w:w="14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2"/>
        <w:gridCol w:w="1739"/>
        <w:gridCol w:w="1263"/>
        <w:gridCol w:w="1263"/>
        <w:gridCol w:w="1134"/>
        <w:gridCol w:w="926"/>
        <w:gridCol w:w="1276"/>
        <w:gridCol w:w="1262"/>
        <w:gridCol w:w="1356"/>
        <w:gridCol w:w="1776"/>
      </w:tblGrid>
      <w:tr w:rsidR="00CE6C40" w:rsidRPr="00194CE9" w14:paraId="14F78A6C" w14:textId="77777777" w:rsidTr="00D56286">
        <w:trPr>
          <w:cantSplit/>
          <w:jc w:val="center"/>
        </w:trPr>
        <w:tc>
          <w:tcPr>
            <w:tcW w:w="2862" w:type="dxa"/>
          </w:tcPr>
          <w:p w14:paraId="01D9253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325" w:type="dxa"/>
            <w:gridSpan w:val="5"/>
          </w:tcPr>
          <w:p w14:paraId="0275D8C6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Stato Patrimoniale</w:t>
            </w:r>
          </w:p>
          <w:p w14:paraId="7E09C7F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4"/>
          </w:tcPr>
          <w:p w14:paraId="58497417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</w:rPr>
              <w:t>Conto economico</w:t>
            </w:r>
          </w:p>
        </w:tc>
      </w:tr>
      <w:tr w:rsidR="00CE6C40" w:rsidRPr="00194CE9" w14:paraId="3FDD17CE" w14:textId="77777777" w:rsidTr="00D56286">
        <w:trPr>
          <w:jc w:val="center"/>
        </w:trPr>
        <w:tc>
          <w:tcPr>
            <w:tcW w:w="2862" w:type="dxa"/>
            <w:shd w:val="clear" w:color="auto" w:fill="F2F2F2" w:themeFill="background1" w:themeFillShade="F2"/>
          </w:tcPr>
          <w:p w14:paraId="77861292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Voci di bilancio</w:t>
            </w:r>
          </w:p>
        </w:tc>
        <w:tc>
          <w:tcPr>
            <w:tcW w:w="1739" w:type="dxa"/>
            <w:shd w:val="clear" w:color="auto" w:fill="F2F2F2" w:themeFill="background1" w:themeFillShade="F2"/>
          </w:tcPr>
          <w:p w14:paraId="6D8353DC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Immobilizzazioni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6235239E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Attivo</w:t>
            </w:r>
          </w:p>
          <w:p w14:paraId="2BA4589D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circolante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5AE84E4F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Patrimonio</w:t>
            </w:r>
          </w:p>
          <w:p w14:paraId="1D110D49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Netto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237622B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Fondi per rischi e oneri</w:t>
            </w:r>
          </w:p>
        </w:tc>
        <w:tc>
          <w:tcPr>
            <w:tcW w:w="926" w:type="dxa"/>
            <w:shd w:val="clear" w:color="auto" w:fill="F2F2F2" w:themeFill="background1" w:themeFillShade="F2"/>
          </w:tcPr>
          <w:p w14:paraId="11BDCB63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Debiti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305E8C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Valore della produzione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14:paraId="0FA7E293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Costi della produzione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36ABE058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Proventi e oneri finanziari</w:t>
            </w:r>
          </w:p>
        </w:tc>
        <w:tc>
          <w:tcPr>
            <w:tcW w:w="1776" w:type="dxa"/>
            <w:shd w:val="clear" w:color="auto" w:fill="F2F2F2" w:themeFill="background1" w:themeFillShade="F2"/>
          </w:tcPr>
          <w:p w14:paraId="7ACA599F" w14:textId="77777777" w:rsidR="00CE6C40" w:rsidRPr="00194CE9" w:rsidRDefault="00CE6C40" w:rsidP="00D56286">
            <w:pPr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Rettifiche di valore di attività finanziarie</w:t>
            </w:r>
          </w:p>
        </w:tc>
      </w:tr>
      <w:tr w:rsidR="00CE6C40" w:rsidRPr="00194CE9" w14:paraId="74A1D476" w14:textId="77777777" w:rsidTr="00D56286">
        <w:trPr>
          <w:trHeight w:val="284"/>
          <w:jc w:val="center"/>
        </w:trPr>
        <w:tc>
          <w:tcPr>
            <w:tcW w:w="2862" w:type="dxa"/>
          </w:tcPr>
          <w:p w14:paraId="1FE71B2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Riserva legale</w:t>
            </w:r>
          </w:p>
        </w:tc>
        <w:tc>
          <w:tcPr>
            <w:tcW w:w="1739" w:type="dxa"/>
          </w:tcPr>
          <w:p w14:paraId="000A189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E5E15C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A761A42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A287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2F4F834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6BDBB0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7CD7BECF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BBFFD2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F6018B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1C001609" w14:textId="77777777" w:rsidTr="00D56286">
        <w:trPr>
          <w:trHeight w:val="284"/>
          <w:jc w:val="center"/>
        </w:trPr>
        <w:tc>
          <w:tcPr>
            <w:tcW w:w="2862" w:type="dxa"/>
          </w:tcPr>
          <w:p w14:paraId="7F60AFD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Acquisto di servizi</w:t>
            </w:r>
          </w:p>
        </w:tc>
        <w:tc>
          <w:tcPr>
            <w:tcW w:w="1739" w:type="dxa"/>
          </w:tcPr>
          <w:p w14:paraId="3B46F0C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B8FA6C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0FE321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4FB6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6FBE07E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1B5B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BE5A32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3B1997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F5932D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0ACD1EB9" w14:textId="77777777" w:rsidTr="00D56286">
        <w:trPr>
          <w:trHeight w:val="284"/>
          <w:jc w:val="center"/>
        </w:trPr>
        <w:tc>
          <w:tcPr>
            <w:tcW w:w="2862" w:type="dxa"/>
          </w:tcPr>
          <w:p w14:paraId="4A5A061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Debiti verso dipendenti</w:t>
            </w:r>
          </w:p>
        </w:tc>
        <w:tc>
          <w:tcPr>
            <w:tcW w:w="1739" w:type="dxa"/>
          </w:tcPr>
          <w:p w14:paraId="7AA8DB1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AE95A9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5463CD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8A4A1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04F0618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A0B8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BF8F63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90A49F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AC5369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26F808D0" w14:textId="77777777" w:rsidTr="00D56286">
        <w:trPr>
          <w:trHeight w:val="284"/>
          <w:jc w:val="center"/>
        </w:trPr>
        <w:tc>
          <w:tcPr>
            <w:tcW w:w="2862" w:type="dxa"/>
          </w:tcPr>
          <w:p w14:paraId="7A20521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Rivalutazione partecipazione</w:t>
            </w:r>
          </w:p>
        </w:tc>
        <w:tc>
          <w:tcPr>
            <w:tcW w:w="1739" w:type="dxa"/>
          </w:tcPr>
          <w:p w14:paraId="44F9D64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F9E5C4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947CF2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2516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0F598E2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FF8D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EEA1530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53BBE90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00A51F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145FEF86" w14:textId="77777777" w:rsidTr="00D56286">
        <w:trPr>
          <w:trHeight w:val="284"/>
          <w:jc w:val="center"/>
        </w:trPr>
        <w:tc>
          <w:tcPr>
            <w:tcW w:w="2862" w:type="dxa"/>
          </w:tcPr>
          <w:p w14:paraId="1476EC5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Capitale sociale</w:t>
            </w:r>
          </w:p>
        </w:tc>
        <w:tc>
          <w:tcPr>
            <w:tcW w:w="1739" w:type="dxa"/>
          </w:tcPr>
          <w:p w14:paraId="3156298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1845BB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DC03BDF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C5CE8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6990D5D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67F61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359970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F04590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4D8988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3BF32C5C" w14:textId="77777777" w:rsidTr="00D56286">
        <w:trPr>
          <w:trHeight w:val="284"/>
          <w:jc w:val="center"/>
        </w:trPr>
        <w:tc>
          <w:tcPr>
            <w:tcW w:w="2862" w:type="dxa"/>
          </w:tcPr>
          <w:p w14:paraId="3F74ACE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Cassa e conto corrente attivo</w:t>
            </w:r>
          </w:p>
        </w:tc>
        <w:tc>
          <w:tcPr>
            <w:tcW w:w="1739" w:type="dxa"/>
          </w:tcPr>
          <w:p w14:paraId="7A1A608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0F6EF5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C49C39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1348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3EA9BDC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E2F3E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DB3D8F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797FCE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CCD52E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55C6AF41" w14:textId="77777777" w:rsidTr="00D56286">
        <w:trPr>
          <w:trHeight w:val="284"/>
          <w:jc w:val="center"/>
        </w:trPr>
        <w:tc>
          <w:tcPr>
            <w:tcW w:w="2862" w:type="dxa"/>
          </w:tcPr>
          <w:p w14:paraId="7AF98C3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Partecipazioni</w:t>
            </w:r>
          </w:p>
        </w:tc>
        <w:tc>
          <w:tcPr>
            <w:tcW w:w="1739" w:type="dxa"/>
          </w:tcPr>
          <w:p w14:paraId="52857FD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686FF40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3FB1C6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D99A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747D37C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25E8F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B825882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328A54C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FE3808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5898D37F" w14:textId="77777777" w:rsidTr="00D56286">
        <w:trPr>
          <w:trHeight w:val="284"/>
          <w:jc w:val="center"/>
        </w:trPr>
        <w:tc>
          <w:tcPr>
            <w:tcW w:w="2862" w:type="dxa"/>
          </w:tcPr>
          <w:p w14:paraId="423E465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Affitti passivi</w:t>
            </w:r>
          </w:p>
        </w:tc>
        <w:tc>
          <w:tcPr>
            <w:tcW w:w="1739" w:type="dxa"/>
          </w:tcPr>
          <w:p w14:paraId="6A1CC5B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CD9654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B0F3B4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298A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5B87ABA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D186E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731263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393947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FB2C76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50FB13FB" w14:textId="77777777" w:rsidTr="00D56286">
        <w:trPr>
          <w:trHeight w:val="284"/>
          <w:jc w:val="center"/>
        </w:trPr>
        <w:tc>
          <w:tcPr>
            <w:tcW w:w="2862" w:type="dxa"/>
          </w:tcPr>
          <w:p w14:paraId="79F68C7F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lastRenderedPageBreak/>
              <w:t>Riserva straordinaria</w:t>
            </w:r>
          </w:p>
        </w:tc>
        <w:tc>
          <w:tcPr>
            <w:tcW w:w="1739" w:type="dxa"/>
          </w:tcPr>
          <w:p w14:paraId="0278CA6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EFA1C1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C14D1E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4C41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38A44D6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B0D9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7E8610A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839E7F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0845D4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1530344B" w14:textId="77777777" w:rsidTr="00D56286">
        <w:trPr>
          <w:trHeight w:val="284"/>
          <w:jc w:val="center"/>
        </w:trPr>
        <w:tc>
          <w:tcPr>
            <w:tcW w:w="2862" w:type="dxa"/>
          </w:tcPr>
          <w:p w14:paraId="4B3A5DF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Interessi attivi</w:t>
            </w:r>
          </w:p>
        </w:tc>
        <w:tc>
          <w:tcPr>
            <w:tcW w:w="1739" w:type="dxa"/>
          </w:tcPr>
          <w:p w14:paraId="1932FDF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44663B1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B6B718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EA43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051F25A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456A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36AE10F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ECE106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2580121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22A25B71" w14:textId="77777777" w:rsidTr="00D56286">
        <w:trPr>
          <w:trHeight w:val="284"/>
          <w:jc w:val="center"/>
        </w:trPr>
        <w:tc>
          <w:tcPr>
            <w:tcW w:w="2862" w:type="dxa"/>
          </w:tcPr>
          <w:p w14:paraId="7552EAE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Variazione prodotti finiti</w:t>
            </w:r>
          </w:p>
        </w:tc>
        <w:tc>
          <w:tcPr>
            <w:tcW w:w="1739" w:type="dxa"/>
          </w:tcPr>
          <w:p w14:paraId="090A689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6F5B96E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7B966F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B041E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1ADC7CB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A9CE8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865CF0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24C487F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2A1576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64BDF708" w14:textId="77777777" w:rsidTr="00D56286">
        <w:trPr>
          <w:trHeight w:val="284"/>
          <w:jc w:val="center"/>
        </w:trPr>
        <w:tc>
          <w:tcPr>
            <w:tcW w:w="2862" w:type="dxa"/>
          </w:tcPr>
          <w:p w14:paraId="499AB5C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Accantonamento al fondo svalutazione crediti</w:t>
            </w:r>
          </w:p>
        </w:tc>
        <w:tc>
          <w:tcPr>
            <w:tcW w:w="1739" w:type="dxa"/>
          </w:tcPr>
          <w:p w14:paraId="4F3D325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9C12EA2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32706C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C830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2B7B388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4581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025539F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7305DF5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356671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37040BB4" w14:textId="77777777" w:rsidTr="00D56286">
        <w:trPr>
          <w:trHeight w:val="284"/>
          <w:jc w:val="center"/>
        </w:trPr>
        <w:tc>
          <w:tcPr>
            <w:tcW w:w="2862" w:type="dxa"/>
          </w:tcPr>
          <w:p w14:paraId="66BADCA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Brevetto</w:t>
            </w:r>
          </w:p>
        </w:tc>
        <w:tc>
          <w:tcPr>
            <w:tcW w:w="1739" w:type="dxa"/>
          </w:tcPr>
          <w:p w14:paraId="29AFB7F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5531CC5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7278C2E6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D9F29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4D3C0FE0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39E4B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C08CA6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8499D8C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B2DCC51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7FFE87C0" w14:textId="77777777" w:rsidTr="00D56286">
        <w:trPr>
          <w:trHeight w:val="284"/>
          <w:jc w:val="center"/>
        </w:trPr>
        <w:tc>
          <w:tcPr>
            <w:tcW w:w="2862" w:type="dxa"/>
          </w:tcPr>
          <w:p w14:paraId="3141CEC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Sopravvenienze attive</w:t>
            </w:r>
          </w:p>
        </w:tc>
        <w:tc>
          <w:tcPr>
            <w:tcW w:w="1739" w:type="dxa"/>
          </w:tcPr>
          <w:p w14:paraId="44A6B90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B16253A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2B9F056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9FFAE5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2A68E3E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CF8E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7E58EC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4CA378D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65F459E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  <w:tr w:rsidR="00CE6C40" w:rsidRPr="00194CE9" w14:paraId="5B393EC0" w14:textId="77777777" w:rsidTr="00D56286">
        <w:trPr>
          <w:trHeight w:val="284"/>
          <w:jc w:val="center"/>
        </w:trPr>
        <w:tc>
          <w:tcPr>
            <w:tcW w:w="2862" w:type="dxa"/>
          </w:tcPr>
          <w:p w14:paraId="62AACA4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194CE9">
              <w:rPr>
                <w:rFonts w:asciiTheme="minorHAnsi" w:eastAsiaTheme="minorEastAsia" w:hAnsiTheme="minorHAnsi" w:cstheme="minorHAnsi"/>
                <w:sz w:val="24"/>
                <w:szCs w:val="24"/>
              </w:rPr>
              <w:t>TFR</w:t>
            </w:r>
          </w:p>
        </w:tc>
        <w:tc>
          <w:tcPr>
            <w:tcW w:w="1739" w:type="dxa"/>
          </w:tcPr>
          <w:p w14:paraId="4D1F1DF9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3DCDAFED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3" w:type="dxa"/>
          </w:tcPr>
          <w:p w14:paraId="16E2E21B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08D27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926" w:type="dxa"/>
          </w:tcPr>
          <w:p w14:paraId="027F02F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A16823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424FF94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356" w:type="dxa"/>
          </w:tcPr>
          <w:p w14:paraId="6A6D9AB8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9D56967" w14:textId="77777777" w:rsidR="00CE6C40" w:rsidRPr="00194CE9" w:rsidRDefault="00CE6C40" w:rsidP="00D56286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</w:tr>
    </w:tbl>
    <w:p w14:paraId="3E293DA4" w14:textId="77777777" w:rsidR="00CE6C40" w:rsidRPr="00194CE9" w:rsidRDefault="00CE6C40" w:rsidP="00CE6C40">
      <w:pPr>
        <w:rPr>
          <w:rFonts w:asciiTheme="minorHAnsi" w:eastAsiaTheme="minorEastAsia" w:hAnsiTheme="minorHAnsi" w:cstheme="minorHAnsi"/>
          <w:sz w:val="24"/>
          <w:szCs w:val="24"/>
        </w:rPr>
      </w:pPr>
    </w:p>
    <w:p w14:paraId="4F2E9A03" w14:textId="77777777" w:rsidR="00CE6C40" w:rsidRPr="00194CE9" w:rsidRDefault="00CE6C40" w:rsidP="00CE6C4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D256D97" w14:textId="77777777" w:rsidR="00963790" w:rsidRPr="00194CE9" w:rsidRDefault="00963790" w:rsidP="0096379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C231AF" w14:textId="77777777" w:rsidR="001A68CD" w:rsidRPr="00194CE9" w:rsidRDefault="001A68CD">
      <w:pPr>
        <w:rPr>
          <w:rFonts w:asciiTheme="minorHAnsi" w:hAnsiTheme="minorHAnsi" w:cstheme="minorHAnsi"/>
          <w:sz w:val="24"/>
          <w:szCs w:val="24"/>
        </w:rPr>
      </w:pPr>
    </w:p>
    <w:sectPr w:rsidR="001A68CD" w:rsidRPr="00194CE9" w:rsidSect="00194CE9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862150t00">
    <w:altName w:val="TT E 186215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1F6"/>
    <w:multiLevelType w:val="hybridMultilevel"/>
    <w:tmpl w:val="8A80E0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6C"/>
    <w:multiLevelType w:val="hybridMultilevel"/>
    <w:tmpl w:val="38244CCC"/>
    <w:lvl w:ilvl="0" w:tplc="0410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AF2C37"/>
    <w:multiLevelType w:val="hybridMultilevel"/>
    <w:tmpl w:val="50D447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94649"/>
    <w:multiLevelType w:val="hybridMultilevel"/>
    <w:tmpl w:val="690ED368"/>
    <w:lvl w:ilvl="0" w:tplc="19787C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6EE"/>
    <w:multiLevelType w:val="singleLevel"/>
    <w:tmpl w:val="6D3AD4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A209BD"/>
    <w:multiLevelType w:val="hybridMultilevel"/>
    <w:tmpl w:val="71A436BA"/>
    <w:lvl w:ilvl="0" w:tplc="3BDAAA5E">
      <w:numFmt w:val="bullet"/>
      <w:lvlText w:val="-"/>
      <w:lvlJc w:val="left"/>
      <w:pPr>
        <w:tabs>
          <w:tab w:val="num" w:pos="728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0"/>
    <w:rsid w:val="00194CE9"/>
    <w:rsid w:val="001A68CD"/>
    <w:rsid w:val="00963790"/>
    <w:rsid w:val="00CE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E89E"/>
  <w15:chartTrackingRefBased/>
  <w15:docId w15:val="{DCA7F0EC-2A7A-4C22-AA6C-FF1FC160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63790"/>
    <w:pPr>
      <w:spacing w:after="0" w:line="240" w:lineRule="auto"/>
    </w:pPr>
    <w:rPr>
      <w:rFonts w:ascii="Tahoma" w:eastAsia="Times New Roman" w:hAnsi="Tahoma" w:cs="Tahoma"/>
      <w:b/>
      <w:bCs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63790"/>
    <w:rPr>
      <w:rFonts w:ascii="Tahoma" w:eastAsia="Times New Roman" w:hAnsi="Tahoma" w:cs="Tahoma"/>
      <w:b/>
      <w:bCs/>
      <w:sz w:val="20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3790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963790"/>
    <w:pPr>
      <w:autoSpaceDE w:val="0"/>
      <w:autoSpaceDN w:val="0"/>
      <w:adjustRightInd w:val="0"/>
      <w:spacing w:after="0" w:line="240" w:lineRule="auto"/>
    </w:pPr>
    <w:rPr>
      <w:rFonts w:ascii="TTE1862150t00" w:eastAsia="Times New Roman" w:hAnsi="TTE1862150t00" w:cs="TTE1862150t00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2021-05-11T14:29:00Z</dcterms:created>
  <dcterms:modified xsi:type="dcterms:W3CDTF">2021-05-11T14:49:00Z</dcterms:modified>
</cp:coreProperties>
</file>