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BAB6" w14:textId="77777777" w:rsidR="002A6141" w:rsidRPr="002A6141" w:rsidRDefault="002A6141" w:rsidP="002A6141">
      <w:pPr>
        <w:spacing w:after="0" w:line="240" w:lineRule="auto"/>
        <w:jc w:val="both"/>
        <w:rPr>
          <w:rFonts w:eastAsia="Times New Roman" w:cstheme="minorHAnsi"/>
          <w:b/>
          <w:u w:val="single"/>
          <w:lang w:eastAsia="it-IT"/>
        </w:rPr>
      </w:pPr>
      <w:r w:rsidRPr="002A6141">
        <w:rPr>
          <w:rFonts w:eastAsia="Times New Roman" w:cstheme="minorHAnsi"/>
          <w:b/>
          <w:u w:val="single"/>
          <w:lang w:eastAsia="it-IT"/>
        </w:rPr>
        <w:t>ESERCIZIO 2</w:t>
      </w:r>
    </w:p>
    <w:p w14:paraId="344CDFF7" w14:textId="77777777" w:rsidR="002A6141" w:rsidRPr="002A6141" w:rsidRDefault="002A6141" w:rsidP="002A6141">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La società Gamma S.r.l. detiene una partecipazione del 75% nel capitale sociale di Beta S.r.l., acquistata nel corso del 20x0 ed iscritta a bilancio al 31.12.x1 per € 670.000 applicando il metodo del patrimonio netto.</w:t>
      </w:r>
    </w:p>
    <w:p w14:paraId="0438C659" w14:textId="77777777" w:rsidR="002A6141" w:rsidRPr="002A6141" w:rsidRDefault="002A6141" w:rsidP="002A6141">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Nel corso del 20x2 si sono verificati i seguenti eventi:</w:t>
      </w:r>
    </w:p>
    <w:p w14:paraId="111DFFFA"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la società Beta acquista sul mercato 2.100 unità del prodotto A al prezzo unitario di € 1,5 rivendendone in seguito la metà a Gamma al prezzo unitario di € 3;</w:t>
      </w:r>
    </w:p>
    <w:p w14:paraId="46F1E3C6"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la società Gamma, nel corso dell’esercizio vende sul mercato 500 unità dei prodotti acquisiti da Beta ad un prezzo unitario di € 1,5;</w:t>
      </w:r>
    </w:p>
    <w:p w14:paraId="48BC077C"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il giorno 31.05.x2 la società Beta distribuisce dividendi per complessivi € 63.000.</w:t>
      </w:r>
    </w:p>
    <w:p w14:paraId="7077F0BE" w14:textId="77777777" w:rsidR="002A6141" w:rsidRPr="002A6141" w:rsidRDefault="002A6141" w:rsidP="002A6141">
      <w:pPr>
        <w:tabs>
          <w:tab w:val="left" w:pos="6663"/>
        </w:tabs>
        <w:spacing w:after="0" w:line="240" w:lineRule="auto"/>
        <w:jc w:val="both"/>
        <w:rPr>
          <w:rFonts w:eastAsia="Times New Roman" w:cstheme="minorHAnsi"/>
          <w:bCs/>
          <w:lang w:eastAsia="it-IT"/>
        </w:rPr>
      </w:pPr>
    </w:p>
    <w:p w14:paraId="445B9AEA" w14:textId="77777777" w:rsidR="002A6141" w:rsidRPr="002A6141" w:rsidRDefault="002A6141" w:rsidP="002A6141">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Gli accadimenti descritti rappresentano le uniche operazioni intercorse fra le due società nell’esercizio di riferimento. Si proceda alla valutazione della partecipazione della società Gamma nella società Beta secondo il metodo del patrimonio netto al 31.12.20x2.</w:t>
      </w:r>
    </w:p>
    <w:p w14:paraId="0952E072" w14:textId="77777777" w:rsidR="002A6141" w:rsidRPr="002A6141" w:rsidRDefault="002A6141" w:rsidP="002A6141">
      <w:pPr>
        <w:tabs>
          <w:tab w:val="left" w:pos="6663"/>
        </w:tabs>
        <w:spacing w:after="0" w:line="240" w:lineRule="auto"/>
        <w:jc w:val="both"/>
        <w:rPr>
          <w:rFonts w:eastAsia="Times New Roman" w:cstheme="minorHAnsi"/>
          <w:bCs/>
          <w:lang w:eastAsia="it-IT"/>
        </w:rPr>
      </w:pPr>
      <w:r w:rsidRPr="002A6141">
        <w:rPr>
          <w:rFonts w:eastAsia="Times New Roman" w:cstheme="minorHAnsi"/>
          <w:bCs/>
          <w:lang w:eastAsia="it-IT"/>
        </w:rPr>
        <w:t>Ai fini sopra indicati si consideri che:</w:t>
      </w:r>
    </w:p>
    <w:p w14:paraId="4B793C4C"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L’utile d’esercizio della società Beta ammonta, nel 20x2 a € 88.000.</w:t>
      </w:r>
    </w:p>
    <w:p w14:paraId="050B0302"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proofErr w:type="gramStart"/>
      <w:r w:rsidRPr="002A6141">
        <w:rPr>
          <w:rFonts w:eastAsia="Times New Roman" w:cstheme="minorHAnsi"/>
          <w:bCs/>
          <w:lang w:eastAsia="it-IT"/>
        </w:rPr>
        <w:t>Il prezzo corrisposto nel 20x0 per l’acquisto della partecipazione nella società Beta,</w:t>
      </w:r>
      <w:proofErr w:type="gramEnd"/>
      <w:r w:rsidRPr="002A6141">
        <w:rPr>
          <w:rFonts w:eastAsia="Times New Roman" w:cstheme="minorHAnsi"/>
          <w:bCs/>
          <w:lang w:eastAsia="it-IT"/>
        </w:rPr>
        <w:t xml:space="preserve"> risultava pari a € 540.000, ed era imputabile alle seguenti voci:</w:t>
      </w:r>
    </w:p>
    <w:p w14:paraId="127F1D93" w14:textId="77777777" w:rsidR="002A6141" w:rsidRPr="002A6141" w:rsidRDefault="002A6141" w:rsidP="002A6141">
      <w:pPr>
        <w:tabs>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t>Quota patrimonio Netto</w:t>
      </w:r>
      <w:r w:rsidRPr="002A6141">
        <w:rPr>
          <w:rFonts w:eastAsia="Times New Roman" w:cstheme="minorHAnsi"/>
          <w:bCs/>
          <w:lang w:eastAsia="it-IT"/>
        </w:rPr>
        <w:tab/>
        <w:t xml:space="preserve">   300.000</w:t>
      </w:r>
    </w:p>
    <w:p w14:paraId="319E4C92" w14:textId="77777777" w:rsidR="002A6141" w:rsidRPr="002A6141" w:rsidRDefault="002A6141" w:rsidP="002A6141">
      <w:pPr>
        <w:tabs>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t>Quota maggior valore fabbricati</w:t>
      </w:r>
      <w:r w:rsidRPr="002A6141">
        <w:rPr>
          <w:rFonts w:eastAsia="Times New Roman" w:cstheme="minorHAnsi"/>
          <w:bCs/>
          <w:lang w:eastAsia="it-IT"/>
        </w:rPr>
        <w:tab/>
        <w:t xml:space="preserve">   180.000</w:t>
      </w:r>
    </w:p>
    <w:p w14:paraId="20EC5169" w14:textId="77777777" w:rsidR="002A6141" w:rsidRPr="002A6141" w:rsidRDefault="002A6141" w:rsidP="002A6141">
      <w:pPr>
        <w:tabs>
          <w:tab w:val="left" w:pos="2835"/>
          <w:tab w:val="left" w:pos="3402"/>
        </w:tabs>
        <w:spacing w:after="0" w:line="240" w:lineRule="auto"/>
        <w:ind w:left="284"/>
        <w:jc w:val="both"/>
        <w:rPr>
          <w:rFonts w:eastAsia="Times New Roman" w:cstheme="minorHAnsi"/>
          <w:bCs/>
          <w:lang w:eastAsia="it-IT"/>
        </w:rPr>
      </w:pPr>
      <w:r w:rsidRPr="002A6141">
        <w:rPr>
          <w:rFonts w:eastAsia="Times New Roman" w:cstheme="minorHAnsi"/>
          <w:bCs/>
          <w:lang w:eastAsia="it-IT"/>
        </w:rPr>
        <w:t>Avviamento</w:t>
      </w:r>
      <w:r w:rsidRPr="002A6141">
        <w:rPr>
          <w:rFonts w:eastAsia="Times New Roman" w:cstheme="minorHAnsi"/>
          <w:bCs/>
          <w:lang w:eastAsia="it-IT"/>
        </w:rPr>
        <w:tab/>
      </w:r>
      <w:r w:rsidRPr="002A6141">
        <w:rPr>
          <w:rFonts w:eastAsia="Times New Roman" w:cstheme="minorHAnsi"/>
          <w:bCs/>
          <w:lang w:eastAsia="it-IT"/>
        </w:rPr>
        <w:tab/>
        <w:t xml:space="preserve">     60.000</w:t>
      </w:r>
    </w:p>
    <w:p w14:paraId="24FBF0DA"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Si consideri che le aliquote di ammortamento sono rispettivamente pari al 20% per l’avviamento ed al 3% per i fabbricati.</w:t>
      </w:r>
    </w:p>
    <w:p w14:paraId="7053AE83" w14:textId="77777777" w:rsidR="002A6141" w:rsidRPr="002A6141" w:rsidRDefault="002A6141" w:rsidP="002A6141">
      <w:pPr>
        <w:numPr>
          <w:ilvl w:val="0"/>
          <w:numId w:val="1"/>
        </w:numPr>
        <w:tabs>
          <w:tab w:val="num" w:pos="284"/>
          <w:tab w:val="left" w:pos="6663"/>
        </w:tabs>
        <w:spacing w:after="0" w:line="240" w:lineRule="auto"/>
        <w:ind w:left="284" w:hanging="284"/>
        <w:jc w:val="both"/>
        <w:rPr>
          <w:rFonts w:eastAsia="Times New Roman" w:cstheme="minorHAnsi"/>
          <w:bCs/>
          <w:lang w:eastAsia="it-IT"/>
        </w:rPr>
      </w:pPr>
      <w:r w:rsidRPr="002A6141">
        <w:rPr>
          <w:rFonts w:eastAsia="Times New Roman" w:cstheme="minorHAnsi"/>
          <w:bCs/>
          <w:lang w:eastAsia="it-IT"/>
        </w:rPr>
        <w:t>Per gli eventuali effetti fiscali delle operazioni infragruppo, si consideri una aliquota forfettaria del 40%.</w:t>
      </w:r>
    </w:p>
    <w:p w14:paraId="555AD731" w14:textId="77777777" w:rsidR="002A6141" w:rsidRPr="002A6141" w:rsidRDefault="002A6141" w:rsidP="002A6141">
      <w:pPr>
        <w:spacing w:after="0" w:line="240" w:lineRule="auto"/>
        <w:rPr>
          <w:rFonts w:eastAsia="Times New Roman" w:cstheme="minorHAnsi"/>
          <w:sz w:val="24"/>
          <w:szCs w:val="24"/>
          <w:lang w:eastAsia="it-IT"/>
        </w:rPr>
      </w:pPr>
    </w:p>
    <w:p w14:paraId="7C4B47C5" w14:textId="77777777" w:rsidR="002A6141" w:rsidRDefault="002A6141"/>
    <w:sectPr w:rsidR="002A61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5453"/>
    <w:multiLevelType w:val="hybridMultilevel"/>
    <w:tmpl w:val="B02C2554"/>
    <w:lvl w:ilvl="0" w:tplc="95648048">
      <w:start w:val="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41932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41"/>
    <w:rsid w:val="002A6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360"/>
  <w15:chartTrackingRefBased/>
  <w15:docId w15:val="{5B764825-4A8F-42F3-B2B5-DF8CE9C5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1</cp:revision>
  <dcterms:created xsi:type="dcterms:W3CDTF">2022-04-08T13:25:00Z</dcterms:created>
  <dcterms:modified xsi:type="dcterms:W3CDTF">2022-04-08T13:26:00Z</dcterms:modified>
</cp:coreProperties>
</file>